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E952E0" w14:textId="536F985F" w:rsidR="008A3282" w:rsidRDefault="008A3282" w:rsidP="008A3282">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109-e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220</w:t>
      </w:r>
      <w:r w:rsidR="004501DC">
        <w:rPr>
          <w:rFonts w:ascii="Arial" w:hAnsi="Arial" w:cs="Arial"/>
          <w:b/>
          <w:bCs/>
        </w:rPr>
        <w:t>4267</w:t>
      </w:r>
    </w:p>
    <w:p w14:paraId="5A1D4566" w14:textId="77777777" w:rsidR="008A3282" w:rsidRPr="00210D4C" w:rsidRDefault="008A3282" w:rsidP="008A3282">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May 9</w:t>
      </w:r>
      <w:r w:rsidRPr="00521E73">
        <w:rPr>
          <w:rFonts w:ascii="Arial" w:eastAsia="MS Mincho" w:hAnsi="Arial" w:cs="Arial"/>
          <w:b/>
          <w:bCs/>
          <w:vertAlign w:val="superscript"/>
          <w:lang w:eastAsia="ja-JP"/>
        </w:rPr>
        <w:t>t</w:t>
      </w:r>
      <w:r>
        <w:rPr>
          <w:rFonts w:ascii="Arial" w:eastAsia="MS Mincho" w:hAnsi="Arial" w:cs="Arial"/>
          <w:b/>
          <w:bCs/>
          <w:vertAlign w:val="superscript"/>
          <w:lang w:eastAsia="ja-JP"/>
        </w:rPr>
        <w:t>h</w:t>
      </w:r>
      <w:r>
        <w:rPr>
          <w:rFonts w:ascii="Arial" w:eastAsia="MS Mincho" w:hAnsi="Arial" w:cs="Arial"/>
          <w:b/>
          <w:bCs/>
          <w:lang w:eastAsia="ja-JP"/>
        </w:rPr>
        <w:t xml:space="preserve"> – 20</w:t>
      </w:r>
      <w:r w:rsidRPr="001A0981">
        <w:rPr>
          <w:rFonts w:ascii="Arial" w:eastAsia="MS Mincho" w:hAnsi="Arial" w:cs="Arial"/>
          <w:b/>
          <w:bCs/>
          <w:vertAlign w:val="superscript"/>
          <w:lang w:eastAsia="ja-JP"/>
        </w:rPr>
        <w:t>th</w:t>
      </w:r>
      <w:r>
        <w:rPr>
          <w:rFonts w:ascii="Arial" w:eastAsia="MS Mincho" w:hAnsi="Arial" w:cs="Arial"/>
          <w:b/>
          <w:bCs/>
          <w:lang w:eastAsia="ja-JP"/>
        </w:rPr>
        <w:t>, 2022</w:t>
      </w:r>
    </w:p>
    <w:p w14:paraId="1ED9FE78" w14:textId="23C38725" w:rsidR="00210D4C" w:rsidRDefault="00C519C4" w:rsidP="00311702">
      <w:pPr>
        <w:pStyle w:val="3GPPHeader"/>
      </w:pPr>
      <w:r>
        <w:t xml:space="preserve"> </w:t>
      </w:r>
    </w:p>
    <w:p w14:paraId="5FB7E722" w14:textId="075EBE86" w:rsidR="00E90E49" w:rsidRPr="00CE30E7" w:rsidRDefault="00E90E49" w:rsidP="00311702">
      <w:pPr>
        <w:pStyle w:val="3GPPHeader"/>
      </w:pPr>
      <w:r w:rsidRPr="00CE30E7">
        <w:t>Agenda Item:</w:t>
      </w:r>
      <w:r w:rsidRPr="00CE30E7">
        <w:tab/>
      </w:r>
      <w:r w:rsidR="00FA72BF">
        <w:t>9.</w:t>
      </w:r>
      <w:r w:rsidR="00876848">
        <w:t>12</w:t>
      </w:r>
      <w:r w:rsidR="00FA72BF">
        <w:t>.</w:t>
      </w:r>
      <w:r w:rsidR="0057029E">
        <w:t>1</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582C4B3E" w:rsidR="00531215" w:rsidRPr="00CE30E7" w:rsidRDefault="003D3C45" w:rsidP="00311702">
      <w:pPr>
        <w:pStyle w:val="3GPPHeader"/>
      </w:pPr>
      <w:r w:rsidRPr="00CE30E7">
        <w:t>Title:</w:t>
      </w:r>
      <w:r w:rsidR="00E90E49" w:rsidRPr="00CE30E7">
        <w:tab/>
      </w:r>
      <w:r w:rsidR="008A3282">
        <w:t>On</w:t>
      </w:r>
      <w:r w:rsidR="004E60F2">
        <w:t xml:space="preserve"> </w:t>
      </w:r>
      <w:r w:rsidR="0057029E">
        <w:t>Coverage Enhancement for NR</w:t>
      </w:r>
      <w:r w:rsidR="00876848">
        <w:t xml:space="preserve"> NTN</w:t>
      </w:r>
      <w:r w:rsidR="00FA72BF">
        <w:t xml:space="preserve"> </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r w:rsidRPr="00A6576F">
        <w:t>Introduction</w:t>
      </w:r>
    </w:p>
    <w:p w14:paraId="17045BB0" w14:textId="20C5AA76" w:rsidR="008A3282" w:rsidRDefault="008A3282" w:rsidP="008A3282">
      <w:pPr>
        <w:jc w:val="both"/>
      </w:pPr>
      <w:r>
        <w:t>The Release-1</w:t>
      </w:r>
      <w:r w:rsidR="00FA72BF">
        <w:t>8</w:t>
      </w:r>
      <w:r>
        <w:t xml:space="preserve"> </w:t>
      </w:r>
      <w:r w:rsidR="0057029E">
        <w:t>NR</w:t>
      </w:r>
      <w:r w:rsidR="00876848">
        <w:t xml:space="preserve"> NTN enhancement </w:t>
      </w:r>
      <w:r>
        <w:t xml:space="preserve">work item </w:t>
      </w:r>
      <w:r w:rsidR="00FA72BF">
        <w:t>was approved in</w:t>
      </w:r>
      <w:r>
        <w:t xml:space="preserve"> RAN #9</w:t>
      </w:r>
      <w:r w:rsidR="00FA72BF">
        <w:t>4</w:t>
      </w:r>
      <w:r>
        <w:t>e meeting</w:t>
      </w:r>
      <w:r w:rsidR="00FA72BF">
        <w:t xml:space="preserve"> </w:t>
      </w:r>
      <w:r w:rsidR="00FA72BF">
        <w:fldChar w:fldCharType="begin"/>
      </w:r>
      <w:r w:rsidR="00FA72BF">
        <w:instrText xml:space="preserve"> REF _Ref99716514 \r \h </w:instrText>
      </w:r>
      <w:r w:rsidR="00FA72BF">
        <w:fldChar w:fldCharType="separate"/>
      </w:r>
      <w:r w:rsidR="00B53188">
        <w:t>[1]</w:t>
      </w:r>
      <w:r w:rsidR="00FA72BF">
        <w:fldChar w:fldCharType="end"/>
      </w:r>
      <w:r w:rsidR="00876848">
        <w:t xml:space="preserve"> and updated in RAN #95e meeting </w:t>
      </w:r>
      <w:r w:rsidR="00876848">
        <w:fldChar w:fldCharType="begin"/>
      </w:r>
      <w:r w:rsidR="00876848">
        <w:instrText xml:space="preserve"> REF _Ref100217924 \r \h </w:instrText>
      </w:r>
      <w:r w:rsidR="00876848">
        <w:fldChar w:fldCharType="separate"/>
      </w:r>
      <w:r w:rsidR="00B53188">
        <w:t>[3]</w:t>
      </w:r>
      <w:r w:rsidR="00876848">
        <w:fldChar w:fldCharType="end"/>
      </w:r>
      <w:r w:rsidR="00876848">
        <w:t>.</w:t>
      </w:r>
    </w:p>
    <w:p w14:paraId="2C6C67B1" w14:textId="41B518FE" w:rsidR="00FA72BF" w:rsidRDefault="00FA72BF" w:rsidP="008A3282">
      <w:pPr>
        <w:jc w:val="both"/>
      </w:pPr>
    </w:p>
    <w:p w14:paraId="65E8C13E" w14:textId="5ADC12FE" w:rsidR="006400C7" w:rsidRPr="006400C7" w:rsidRDefault="0057029E" w:rsidP="00CD60DA">
      <w:pPr>
        <w:jc w:val="both"/>
      </w:pPr>
      <w:r>
        <w:t>In the NR NTN work item, o</w:t>
      </w:r>
      <w:r w:rsidR="00FA72BF">
        <w:t xml:space="preserve">ne of the RAN1 objectives is </w:t>
      </w:r>
      <w:r>
        <w:t xml:space="preserve">coverage enhancement. </w:t>
      </w:r>
      <w:r w:rsidR="006400C7">
        <w:t xml:space="preserve">In this contribution, we </w:t>
      </w:r>
      <w:r w:rsidR="00991887">
        <w:t>provide our views on</w:t>
      </w:r>
      <w:r w:rsidR="00876848">
        <w:t xml:space="preserve"> </w:t>
      </w:r>
      <w:r>
        <w:t>coverage enhancement for NR NTN</w:t>
      </w:r>
      <w:r w:rsidR="00876848">
        <w:t>.</w:t>
      </w:r>
    </w:p>
    <w:p w14:paraId="0C31D433" w14:textId="731E619E" w:rsidR="002F2A58" w:rsidRDefault="00EA5A5B" w:rsidP="002F2A58">
      <w:pPr>
        <w:pStyle w:val="Heading1"/>
      </w:pPr>
      <w:r>
        <w:t>Discussion</w:t>
      </w:r>
    </w:p>
    <w:p w14:paraId="6F93EA73" w14:textId="0B605376" w:rsidR="00270F16" w:rsidRPr="00270F16" w:rsidRDefault="00270F16" w:rsidP="00270F16">
      <w:pPr>
        <w:pStyle w:val="Heading2"/>
      </w:pPr>
      <w:r>
        <w:t>General simulation assumptions</w:t>
      </w:r>
    </w:p>
    <w:p w14:paraId="0DAF940D" w14:textId="1317568E" w:rsidR="005300DF" w:rsidRDefault="005300DF" w:rsidP="005300DF">
      <w:pPr>
        <w:jc w:val="both"/>
      </w:pPr>
      <w:r>
        <w:t xml:space="preserve">According to Release-18 NR NTN work item, one of RAN1 objectives is to evaluate the coverage performance and identify the candidate physical radio channels that have coverage issues. The justification of this objective is to address handset terminals, including smartphones, with respective to coverage considering the NTN characteristics such as large propagation delay and satellite movement. The evaluation of coverage performance is based on the use case of VoIP and low-data rate services for commercial handset terminals. </w:t>
      </w:r>
    </w:p>
    <w:p w14:paraId="016036E5" w14:textId="6326903C" w:rsidR="005300DF" w:rsidRDefault="005300DF" w:rsidP="005300DF">
      <w:pPr>
        <w:jc w:val="both"/>
      </w:pPr>
    </w:p>
    <w:p w14:paraId="59782B9B" w14:textId="7780A705" w:rsidR="005300DF" w:rsidRDefault="005300DF" w:rsidP="005300DF">
      <w:pPr>
        <w:jc w:val="both"/>
      </w:pPr>
      <w:r>
        <w:t xml:space="preserve">It is an assumption that both VSAT devices with directive antenna and commercial handset terminals are supported in FR1 and only VSAT devices with directive antenna are supported in above 10 GHz hands. </w:t>
      </w:r>
      <w:r w:rsidR="006776A7">
        <w:t>S</w:t>
      </w:r>
      <w:r w:rsidR="000E23DE">
        <w:t>ince</w:t>
      </w:r>
      <w:r>
        <w:t xml:space="preserve"> the</w:t>
      </w:r>
      <w:r w:rsidR="000E23DE">
        <w:t xml:space="preserve"> evaluation of</w:t>
      </w:r>
      <w:r>
        <w:t xml:space="preserve"> coverage performance is </w:t>
      </w:r>
      <w:r w:rsidR="000E23DE">
        <w:t xml:space="preserve">aimed </w:t>
      </w:r>
      <w:r>
        <w:t>for comme</w:t>
      </w:r>
      <w:r w:rsidR="000E23DE">
        <w:t xml:space="preserve">rcial handset terminals, it is straightforward that the evaluation of coverage performance is only on FR1. </w:t>
      </w:r>
    </w:p>
    <w:p w14:paraId="382A94AC" w14:textId="54966346" w:rsidR="000E23DE" w:rsidRDefault="000E23DE" w:rsidP="005300DF">
      <w:pPr>
        <w:jc w:val="both"/>
      </w:pPr>
    </w:p>
    <w:p w14:paraId="1716ECA8" w14:textId="4E6C7320" w:rsidR="000E23DE" w:rsidRDefault="000E23DE" w:rsidP="000E23DE">
      <w:pPr>
        <w:jc w:val="both"/>
      </w:pPr>
      <w:r w:rsidRPr="003F245C">
        <w:rPr>
          <w:b/>
          <w:bCs/>
          <w:i/>
          <w:iCs/>
          <w:u w:val="single"/>
        </w:rPr>
        <w:t>Proposal 1:</w:t>
      </w:r>
      <w:r>
        <w:t xml:space="preserve"> </w:t>
      </w:r>
      <w:r>
        <w:rPr>
          <w:i/>
          <w:iCs/>
        </w:rPr>
        <w:t xml:space="preserve">The evaluation of the </w:t>
      </w:r>
      <w:r w:rsidR="001B7A8C">
        <w:rPr>
          <w:i/>
          <w:iCs/>
        </w:rPr>
        <w:t xml:space="preserve">NR NTN </w:t>
      </w:r>
      <w:r>
        <w:rPr>
          <w:i/>
          <w:iCs/>
        </w:rPr>
        <w:t xml:space="preserve">coverage performance is only on FR1. </w:t>
      </w:r>
    </w:p>
    <w:p w14:paraId="286B57A3" w14:textId="71A11B4E" w:rsidR="000E23DE" w:rsidRDefault="000E23DE" w:rsidP="005300DF">
      <w:pPr>
        <w:jc w:val="both"/>
      </w:pPr>
    </w:p>
    <w:p w14:paraId="4B69C8FB" w14:textId="70ABBA72" w:rsidR="000E23DE" w:rsidRDefault="000E23DE" w:rsidP="005300DF">
      <w:pPr>
        <w:jc w:val="both"/>
      </w:pPr>
      <w:r>
        <w:t>The study on NR coverage enhancement was conducted in Release</w:t>
      </w:r>
      <w:r w:rsidR="001B7A8C">
        <w:t>-</w:t>
      </w:r>
      <w:r>
        <w:t>1</w:t>
      </w:r>
      <w:r w:rsidR="003A4B5B">
        <w:t>7</w:t>
      </w:r>
      <w:r>
        <w:t>, where the simulation assumptions and performance evaluation were summarized in TR 38.830</w:t>
      </w:r>
      <w:r w:rsidR="001B7A8C">
        <w:t xml:space="preserve"> </w:t>
      </w:r>
      <w:r w:rsidR="001B7A8C">
        <w:fldChar w:fldCharType="begin"/>
      </w:r>
      <w:r w:rsidR="001B7A8C">
        <w:instrText xml:space="preserve"> REF _Ref100217924 \r \h </w:instrText>
      </w:r>
      <w:r w:rsidR="001B7A8C">
        <w:fldChar w:fldCharType="separate"/>
      </w:r>
      <w:r w:rsidR="00B53188">
        <w:t>[3]</w:t>
      </w:r>
      <w:r w:rsidR="001B7A8C">
        <w:fldChar w:fldCharType="end"/>
      </w:r>
      <w:r>
        <w:t xml:space="preserve">. Specifically, the general parameters for simulation assumptions for FR1 </w:t>
      </w:r>
      <w:r w:rsidR="001B7A8C">
        <w:t xml:space="preserve">were provided in Table A.1-1 of </w:t>
      </w:r>
      <w:r w:rsidR="001B7A8C">
        <w:fldChar w:fldCharType="begin"/>
      </w:r>
      <w:r w:rsidR="001B7A8C">
        <w:instrText xml:space="preserve"> REF _Ref100217924 \r \h </w:instrText>
      </w:r>
      <w:r w:rsidR="001B7A8C">
        <w:fldChar w:fldCharType="separate"/>
      </w:r>
      <w:r w:rsidR="00B53188">
        <w:t>[3]</w:t>
      </w:r>
      <w:r w:rsidR="001B7A8C">
        <w:fldChar w:fldCharType="end"/>
      </w:r>
      <w:r w:rsidR="001B7A8C">
        <w:t xml:space="preserve">. Some of these parameters are inapplicable to NR NTN. </w:t>
      </w:r>
    </w:p>
    <w:p w14:paraId="5167FBF8" w14:textId="368458A6" w:rsidR="005772F6" w:rsidRDefault="005772F6" w:rsidP="005300DF">
      <w:pPr>
        <w:jc w:val="both"/>
      </w:pPr>
    </w:p>
    <w:p w14:paraId="5607E8FE" w14:textId="6CBF7F1D" w:rsidR="008F6780" w:rsidRDefault="003D5BB1" w:rsidP="005300DF">
      <w:pPr>
        <w:jc w:val="both"/>
      </w:pPr>
      <w:r>
        <w:t xml:space="preserve">Since Release-18 NR NTN assumes GSO and NGSO with transparent payload, we could focus on the scenario of satellite orbit of GEO, LEO-1200 and LEO-600, as defined in </w:t>
      </w:r>
      <w:r w:rsidR="005772F6">
        <w:fldChar w:fldCharType="begin"/>
      </w:r>
      <w:r w:rsidR="005772F6">
        <w:instrText xml:space="preserve"> REF _Ref100908432 \r \h </w:instrText>
      </w:r>
      <w:r w:rsidR="005772F6">
        <w:fldChar w:fldCharType="separate"/>
      </w:r>
      <w:r w:rsidR="00B53188">
        <w:t>[4]</w:t>
      </w:r>
      <w:r w:rsidR="005772F6">
        <w:fldChar w:fldCharType="end"/>
      </w:r>
      <w:r>
        <w:t>. Since L-band and S-band have been agreed to be used in NR NTN, the operation frequency in the simulation assumptions could be 2 GHz.</w:t>
      </w:r>
    </w:p>
    <w:p w14:paraId="05B2553F" w14:textId="5E76614B" w:rsidR="008F6780" w:rsidRDefault="008F6780" w:rsidP="005300DF">
      <w:pPr>
        <w:jc w:val="both"/>
      </w:pPr>
    </w:p>
    <w:p w14:paraId="1ACD9549" w14:textId="47CCC810" w:rsidR="005772F6" w:rsidRDefault="004F75DB" w:rsidP="005300DF">
      <w:pPr>
        <w:jc w:val="both"/>
      </w:pPr>
      <w:r>
        <w:t xml:space="preserve">It is mentioned </w:t>
      </w:r>
      <w:r>
        <w:fldChar w:fldCharType="begin"/>
      </w:r>
      <w:r>
        <w:instrText xml:space="preserve"> REF _Ref101772893 \r \h </w:instrText>
      </w:r>
      <w:r>
        <w:fldChar w:fldCharType="separate"/>
      </w:r>
      <w:r w:rsidR="00B53188">
        <w:t>[5]</w:t>
      </w:r>
      <w:r>
        <w:fldChar w:fldCharType="end"/>
      </w:r>
      <w:r>
        <w:t xml:space="preserve"> that for the minimal service levels, the data rate at the cell edge for very large coverage area is 100 kbps for more than 100 km cell coverage. This requirement is applicable to </w:t>
      </w:r>
      <w:r w:rsidR="00410051">
        <w:t xml:space="preserve">NR </w:t>
      </w:r>
      <w:r>
        <w:t xml:space="preserve">NTN. </w:t>
      </w:r>
      <w:r w:rsidRPr="00FE5E15">
        <w:t>For the low-data rate services,</w:t>
      </w:r>
      <w:r>
        <w:t xml:space="preserve"> we</w:t>
      </w:r>
      <w:r w:rsidR="008F6780" w:rsidRPr="00FE5E15">
        <w:t xml:space="preserve"> think the data rate </w:t>
      </w:r>
      <w:r>
        <w:t xml:space="preserve">in NR NTN </w:t>
      </w:r>
      <w:r w:rsidR="0027406F" w:rsidRPr="00FE5E15">
        <w:t xml:space="preserve">could be 100 kbps for </w:t>
      </w:r>
      <w:r w:rsidR="0027406F" w:rsidRPr="00FE5E15">
        <w:lastRenderedPageBreak/>
        <w:t xml:space="preserve">downlink and 50 kbps for uplink. </w:t>
      </w:r>
      <w:r w:rsidR="008F6780" w:rsidRPr="00FE5E15">
        <w:t xml:space="preserve">For VoIP services, it was mentioned </w:t>
      </w:r>
      <w:r w:rsidR="008F6780" w:rsidRPr="00FE5E15">
        <w:fldChar w:fldCharType="begin"/>
      </w:r>
      <w:r w:rsidR="008F6780" w:rsidRPr="00FE5E15">
        <w:instrText xml:space="preserve"> REF _Ref100217924 \r \h </w:instrText>
      </w:r>
      <w:r w:rsidR="00D40481" w:rsidRPr="00FE5E15">
        <w:instrText xml:space="preserve"> \* MERGEFORMAT </w:instrText>
      </w:r>
      <w:r w:rsidR="008F6780" w:rsidRPr="00FE5E15">
        <w:fldChar w:fldCharType="separate"/>
      </w:r>
      <w:r w:rsidR="00B53188">
        <w:t>[3]</w:t>
      </w:r>
      <w:r w:rsidR="008F6780" w:rsidRPr="00FE5E15">
        <w:fldChar w:fldCharType="end"/>
      </w:r>
      <w:r w:rsidR="008F6780" w:rsidRPr="00FE5E15">
        <w:t xml:space="preserve"> that the packet size is 320 bits</w:t>
      </w:r>
      <w:r w:rsidR="0027406F" w:rsidRPr="00FE5E15">
        <w:t xml:space="preserve"> with 20 ms data arriving interval. </w:t>
      </w:r>
    </w:p>
    <w:p w14:paraId="14FD687B" w14:textId="69ACF4E7" w:rsidR="003D5BB1" w:rsidRDefault="003D5BB1" w:rsidP="005300DF">
      <w:pPr>
        <w:jc w:val="both"/>
      </w:pPr>
    </w:p>
    <w:p w14:paraId="2B3C3276" w14:textId="3441E6D4" w:rsidR="00D40481" w:rsidRDefault="00D40481" w:rsidP="005300DF">
      <w:pPr>
        <w:jc w:val="both"/>
      </w:pPr>
      <w:r>
        <w:t xml:space="preserve">The channel models for link level simulation were defined in </w:t>
      </w:r>
      <w:r>
        <w:fldChar w:fldCharType="begin"/>
      </w:r>
      <w:r>
        <w:instrText xml:space="preserve"> REF _Ref100917293 \r \h </w:instrText>
      </w:r>
      <w:r>
        <w:fldChar w:fldCharType="separate"/>
      </w:r>
      <w:r w:rsidR="00B53188">
        <w:t>[5]</w:t>
      </w:r>
      <w:r>
        <w:fldChar w:fldCharType="end"/>
      </w:r>
      <w:r>
        <w:t xml:space="preserve">. Among these channel models, we use NTN-TDL-C channel model for </w:t>
      </w:r>
      <w:r w:rsidR="00327B24">
        <w:t xml:space="preserve">LoS scenario. The delay spread can be set as 100 ns, as in </w:t>
      </w:r>
      <w:r w:rsidR="00327B24">
        <w:fldChar w:fldCharType="begin"/>
      </w:r>
      <w:r w:rsidR="00327B24">
        <w:instrText xml:space="preserve"> REF _Ref100917293 \r \h </w:instrText>
      </w:r>
      <w:r w:rsidR="00327B24">
        <w:fldChar w:fldCharType="separate"/>
      </w:r>
      <w:r w:rsidR="00B53188">
        <w:t>[5]</w:t>
      </w:r>
      <w:r w:rsidR="00327B24">
        <w:fldChar w:fldCharType="end"/>
      </w:r>
      <w:r w:rsidR="00327B24">
        <w:t>. The other parameters</w:t>
      </w:r>
      <w:r w:rsidR="0092449D">
        <w:t xml:space="preserve">, e.g., channel bandwidth of 20 MHz, UE velocity of 3 km/h, </w:t>
      </w:r>
      <w:r w:rsidR="00327B24">
        <w:t xml:space="preserve">could follow Table A.1-1 of </w:t>
      </w:r>
      <w:r w:rsidR="00327B24">
        <w:fldChar w:fldCharType="begin"/>
      </w:r>
      <w:r w:rsidR="00327B24">
        <w:instrText xml:space="preserve"> REF _Ref100217924 \r \h </w:instrText>
      </w:r>
      <w:r w:rsidR="00327B24">
        <w:fldChar w:fldCharType="separate"/>
      </w:r>
      <w:r w:rsidR="00B53188">
        <w:t>[3]</w:t>
      </w:r>
      <w:r w:rsidR="00327B24">
        <w:fldChar w:fldCharType="end"/>
      </w:r>
      <w:r w:rsidR="00327B24">
        <w:t xml:space="preserve">. </w:t>
      </w:r>
    </w:p>
    <w:p w14:paraId="1F686D13" w14:textId="56500EE6" w:rsidR="008F6780" w:rsidRDefault="008F6780" w:rsidP="005300DF">
      <w:pPr>
        <w:jc w:val="both"/>
      </w:pPr>
    </w:p>
    <w:p w14:paraId="585863F2" w14:textId="41205066" w:rsidR="00A9231D" w:rsidRDefault="00A9231D" w:rsidP="005300DF">
      <w:pPr>
        <w:jc w:val="both"/>
      </w:pPr>
      <w:r>
        <w:t xml:space="preserve">Furthermore, the shadowing, scintillation loss and polarization loss in NTN could be 3 dB, 2.2 dB, 3 dB, respectively. The atmospheric path loss is 0.2 dB for GEO and 0.1 dB for LEO-1200 and LEO-600. </w:t>
      </w:r>
    </w:p>
    <w:p w14:paraId="62A1052A" w14:textId="77777777" w:rsidR="00A9231D" w:rsidRDefault="00A9231D" w:rsidP="005300DF">
      <w:pPr>
        <w:jc w:val="both"/>
      </w:pPr>
    </w:p>
    <w:p w14:paraId="24A68BCD" w14:textId="1D947450" w:rsidR="00A9231D" w:rsidRDefault="00A9231D" w:rsidP="00A9231D">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Pr>
          <w:i/>
          <w:iCs/>
        </w:rPr>
        <w:t>The evaluation of the NR NTN coverage performance has the assumption</w:t>
      </w:r>
      <w:r w:rsidR="006776A7">
        <w:rPr>
          <w:i/>
          <w:iCs/>
        </w:rPr>
        <w:t>s</w:t>
      </w:r>
      <w:r>
        <w:rPr>
          <w:i/>
          <w:iCs/>
        </w:rPr>
        <w:t xml:space="preserve"> of </w:t>
      </w:r>
    </w:p>
    <w:p w14:paraId="244E0A1F" w14:textId="77777777" w:rsidR="00A9231D" w:rsidRPr="003D5BB1" w:rsidRDefault="00A9231D" w:rsidP="0003582C">
      <w:pPr>
        <w:pStyle w:val="ListParagraph"/>
        <w:numPr>
          <w:ilvl w:val="0"/>
          <w:numId w:val="13"/>
        </w:numPr>
        <w:jc w:val="both"/>
        <w:rPr>
          <w:rFonts w:ascii="Times New Roman" w:hAnsi="Times New Roman"/>
          <w:i/>
          <w:iCs/>
          <w:sz w:val="24"/>
          <w:szCs w:val="24"/>
        </w:rPr>
      </w:pPr>
      <w:r w:rsidRPr="003D5BB1">
        <w:rPr>
          <w:rFonts w:ascii="Times New Roman" w:hAnsi="Times New Roman"/>
          <w:i/>
          <w:iCs/>
          <w:sz w:val="24"/>
          <w:szCs w:val="24"/>
        </w:rPr>
        <w:t>satellite orbital</w:t>
      </w:r>
      <w:r>
        <w:rPr>
          <w:rFonts w:ascii="Times New Roman" w:hAnsi="Times New Roman"/>
          <w:i/>
          <w:iCs/>
          <w:sz w:val="24"/>
          <w:szCs w:val="24"/>
        </w:rPr>
        <w:t>: G</w:t>
      </w:r>
      <w:r w:rsidRPr="003D5BB1">
        <w:rPr>
          <w:rFonts w:ascii="Times New Roman" w:hAnsi="Times New Roman"/>
          <w:i/>
          <w:iCs/>
          <w:sz w:val="24"/>
          <w:szCs w:val="24"/>
        </w:rPr>
        <w:t>EO, LEO-1200 and LEO-600</w:t>
      </w:r>
    </w:p>
    <w:p w14:paraId="60E70826" w14:textId="633EE086" w:rsidR="00A9231D" w:rsidRDefault="00A9231D" w:rsidP="0003582C">
      <w:pPr>
        <w:pStyle w:val="ListParagraph"/>
        <w:numPr>
          <w:ilvl w:val="0"/>
          <w:numId w:val="13"/>
        </w:numPr>
        <w:jc w:val="both"/>
        <w:rPr>
          <w:rFonts w:ascii="Times New Roman" w:hAnsi="Times New Roman"/>
          <w:i/>
          <w:iCs/>
          <w:sz w:val="24"/>
          <w:szCs w:val="24"/>
        </w:rPr>
      </w:pPr>
      <w:r w:rsidRPr="003D5BB1">
        <w:rPr>
          <w:rFonts w:ascii="Times New Roman" w:hAnsi="Times New Roman"/>
          <w:i/>
          <w:iCs/>
          <w:sz w:val="24"/>
          <w:szCs w:val="24"/>
        </w:rPr>
        <w:t>frequenc</w:t>
      </w:r>
      <w:r>
        <w:rPr>
          <w:rFonts w:ascii="Times New Roman" w:hAnsi="Times New Roman"/>
          <w:i/>
          <w:iCs/>
          <w:sz w:val="24"/>
          <w:szCs w:val="24"/>
        </w:rPr>
        <w:t>y:</w:t>
      </w:r>
      <w:r w:rsidRPr="003D5BB1">
        <w:rPr>
          <w:rFonts w:ascii="Times New Roman" w:hAnsi="Times New Roman"/>
          <w:i/>
          <w:iCs/>
          <w:sz w:val="24"/>
          <w:szCs w:val="24"/>
        </w:rPr>
        <w:t xml:space="preserve"> 2 GHz</w:t>
      </w:r>
    </w:p>
    <w:p w14:paraId="7E386F1C" w14:textId="0E7EFE8F" w:rsidR="006776A7" w:rsidRDefault="006776A7" w:rsidP="0003582C">
      <w:pPr>
        <w:pStyle w:val="ListParagraph"/>
        <w:numPr>
          <w:ilvl w:val="0"/>
          <w:numId w:val="13"/>
        </w:numPr>
        <w:jc w:val="both"/>
        <w:rPr>
          <w:rFonts w:ascii="Times New Roman" w:hAnsi="Times New Roman"/>
          <w:i/>
          <w:iCs/>
          <w:sz w:val="24"/>
          <w:szCs w:val="24"/>
        </w:rPr>
      </w:pPr>
      <w:r>
        <w:rPr>
          <w:rFonts w:ascii="Times New Roman" w:hAnsi="Times New Roman"/>
          <w:i/>
          <w:iCs/>
          <w:sz w:val="24"/>
          <w:szCs w:val="24"/>
        </w:rPr>
        <w:t>VoIP</w:t>
      </w:r>
      <w:r w:rsidR="00410051">
        <w:rPr>
          <w:rFonts w:ascii="Times New Roman" w:hAnsi="Times New Roman"/>
          <w:i/>
          <w:iCs/>
          <w:sz w:val="24"/>
          <w:szCs w:val="24"/>
        </w:rPr>
        <w:t xml:space="preserve"> service</w:t>
      </w:r>
      <w:r>
        <w:rPr>
          <w:rFonts w:ascii="Times New Roman" w:hAnsi="Times New Roman"/>
          <w:i/>
          <w:iCs/>
          <w:sz w:val="24"/>
          <w:szCs w:val="24"/>
        </w:rPr>
        <w:t>: 320 bits with 20 ms data arriving interval</w:t>
      </w:r>
    </w:p>
    <w:p w14:paraId="5AD5215A" w14:textId="18E8C053" w:rsidR="006776A7" w:rsidRDefault="006776A7" w:rsidP="0003582C">
      <w:pPr>
        <w:pStyle w:val="ListParagraph"/>
        <w:numPr>
          <w:ilvl w:val="0"/>
          <w:numId w:val="13"/>
        </w:numPr>
        <w:jc w:val="both"/>
        <w:rPr>
          <w:rFonts w:ascii="Times New Roman" w:hAnsi="Times New Roman"/>
          <w:i/>
          <w:iCs/>
          <w:sz w:val="24"/>
          <w:szCs w:val="24"/>
        </w:rPr>
      </w:pPr>
      <w:r>
        <w:rPr>
          <w:rFonts w:ascii="Times New Roman" w:hAnsi="Times New Roman"/>
          <w:i/>
          <w:iCs/>
          <w:sz w:val="24"/>
          <w:szCs w:val="24"/>
        </w:rPr>
        <w:t>Low-data rate service: 100 kbps for downlink and 50 kbps for uplink</w:t>
      </w:r>
    </w:p>
    <w:p w14:paraId="1A307F2F" w14:textId="77777777" w:rsidR="00A9231D" w:rsidRDefault="00A9231D" w:rsidP="0003582C">
      <w:pPr>
        <w:pStyle w:val="ListParagraph"/>
        <w:numPr>
          <w:ilvl w:val="0"/>
          <w:numId w:val="13"/>
        </w:numPr>
        <w:jc w:val="both"/>
        <w:rPr>
          <w:rFonts w:ascii="Times New Roman" w:hAnsi="Times New Roman"/>
          <w:i/>
          <w:iCs/>
          <w:sz w:val="24"/>
          <w:szCs w:val="24"/>
        </w:rPr>
      </w:pPr>
      <w:r>
        <w:rPr>
          <w:rFonts w:ascii="Times New Roman" w:hAnsi="Times New Roman"/>
          <w:i/>
          <w:iCs/>
          <w:sz w:val="24"/>
          <w:szCs w:val="24"/>
        </w:rPr>
        <w:t>link-level channel model: NTN-TDL-C</w:t>
      </w:r>
    </w:p>
    <w:p w14:paraId="518BFEB2" w14:textId="77777777" w:rsidR="00A9231D" w:rsidRDefault="00A9231D" w:rsidP="0003582C">
      <w:pPr>
        <w:pStyle w:val="ListParagraph"/>
        <w:numPr>
          <w:ilvl w:val="0"/>
          <w:numId w:val="13"/>
        </w:numPr>
        <w:jc w:val="both"/>
        <w:rPr>
          <w:rFonts w:ascii="Times New Roman" w:hAnsi="Times New Roman"/>
          <w:i/>
          <w:iCs/>
          <w:sz w:val="24"/>
          <w:szCs w:val="24"/>
        </w:rPr>
      </w:pPr>
      <w:r>
        <w:rPr>
          <w:rFonts w:ascii="Times New Roman" w:hAnsi="Times New Roman"/>
          <w:i/>
          <w:iCs/>
          <w:sz w:val="24"/>
          <w:szCs w:val="24"/>
        </w:rPr>
        <w:t>delay spread: 100 ns</w:t>
      </w:r>
    </w:p>
    <w:p w14:paraId="02B6DD97" w14:textId="77777777" w:rsidR="00A9231D" w:rsidRDefault="00A9231D" w:rsidP="0003582C">
      <w:pPr>
        <w:pStyle w:val="ListParagraph"/>
        <w:numPr>
          <w:ilvl w:val="0"/>
          <w:numId w:val="13"/>
        </w:numPr>
        <w:jc w:val="both"/>
        <w:rPr>
          <w:rFonts w:ascii="Times New Roman" w:hAnsi="Times New Roman"/>
          <w:i/>
          <w:iCs/>
          <w:sz w:val="24"/>
          <w:szCs w:val="24"/>
        </w:rPr>
      </w:pPr>
      <w:r>
        <w:rPr>
          <w:rFonts w:ascii="Times New Roman" w:hAnsi="Times New Roman"/>
          <w:i/>
          <w:iCs/>
          <w:sz w:val="24"/>
          <w:szCs w:val="24"/>
        </w:rPr>
        <w:t>channel bandwidth: 20 MHz</w:t>
      </w:r>
    </w:p>
    <w:p w14:paraId="3C5FA50D" w14:textId="77777777" w:rsidR="00A9231D" w:rsidRDefault="00A9231D" w:rsidP="0003582C">
      <w:pPr>
        <w:pStyle w:val="ListParagraph"/>
        <w:numPr>
          <w:ilvl w:val="0"/>
          <w:numId w:val="13"/>
        </w:numPr>
        <w:jc w:val="both"/>
        <w:rPr>
          <w:rFonts w:ascii="Times New Roman" w:hAnsi="Times New Roman"/>
          <w:i/>
          <w:iCs/>
          <w:sz w:val="24"/>
          <w:szCs w:val="24"/>
        </w:rPr>
      </w:pPr>
      <w:r>
        <w:rPr>
          <w:rFonts w:ascii="Times New Roman" w:hAnsi="Times New Roman"/>
          <w:i/>
          <w:iCs/>
          <w:sz w:val="24"/>
          <w:szCs w:val="24"/>
        </w:rPr>
        <w:t xml:space="preserve">UE velocity: 3 km/h </w:t>
      </w:r>
    </w:p>
    <w:p w14:paraId="3C4BAA3C" w14:textId="77777777" w:rsidR="00A9231D" w:rsidRDefault="00A9231D" w:rsidP="0003582C">
      <w:pPr>
        <w:pStyle w:val="ListParagraph"/>
        <w:numPr>
          <w:ilvl w:val="0"/>
          <w:numId w:val="13"/>
        </w:numPr>
        <w:jc w:val="both"/>
        <w:rPr>
          <w:rFonts w:ascii="Times New Roman" w:hAnsi="Times New Roman"/>
          <w:i/>
          <w:iCs/>
          <w:sz w:val="24"/>
          <w:szCs w:val="24"/>
        </w:rPr>
      </w:pPr>
      <w:r>
        <w:rPr>
          <w:rFonts w:ascii="Times New Roman" w:hAnsi="Times New Roman"/>
          <w:i/>
          <w:iCs/>
          <w:sz w:val="24"/>
          <w:szCs w:val="24"/>
        </w:rPr>
        <w:t>shadowing: 3 dB</w:t>
      </w:r>
    </w:p>
    <w:p w14:paraId="3DCE875B" w14:textId="77777777" w:rsidR="00A9231D" w:rsidRDefault="00A9231D" w:rsidP="0003582C">
      <w:pPr>
        <w:pStyle w:val="ListParagraph"/>
        <w:numPr>
          <w:ilvl w:val="0"/>
          <w:numId w:val="13"/>
        </w:numPr>
        <w:jc w:val="both"/>
        <w:rPr>
          <w:rFonts w:ascii="Times New Roman" w:hAnsi="Times New Roman"/>
          <w:i/>
          <w:iCs/>
          <w:sz w:val="24"/>
          <w:szCs w:val="24"/>
        </w:rPr>
      </w:pPr>
      <w:r>
        <w:rPr>
          <w:rFonts w:ascii="Times New Roman" w:hAnsi="Times New Roman"/>
          <w:i/>
          <w:iCs/>
          <w:sz w:val="24"/>
          <w:szCs w:val="24"/>
        </w:rPr>
        <w:t>atmospheric path loss: 0.2 dB for GEO, 0.1 dB for LEO-1200 and LEO-600</w:t>
      </w:r>
    </w:p>
    <w:p w14:paraId="372B7371" w14:textId="77777777" w:rsidR="00A9231D" w:rsidRDefault="00A9231D" w:rsidP="0003582C">
      <w:pPr>
        <w:pStyle w:val="ListParagraph"/>
        <w:numPr>
          <w:ilvl w:val="0"/>
          <w:numId w:val="13"/>
        </w:numPr>
        <w:jc w:val="both"/>
        <w:rPr>
          <w:rFonts w:ascii="Times New Roman" w:hAnsi="Times New Roman"/>
          <w:i/>
          <w:iCs/>
          <w:sz w:val="24"/>
          <w:szCs w:val="24"/>
        </w:rPr>
      </w:pPr>
      <w:r>
        <w:rPr>
          <w:rFonts w:ascii="Times New Roman" w:hAnsi="Times New Roman"/>
          <w:i/>
          <w:iCs/>
          <w:sz w:val="24"/>
          <w:szCs w:val="24"/>
        </w:rPr>
        <w:t>scintillation loss: 2.2 dB</w:t>
      </w:r>
    </w:p>
    <w:p w14:paraId="18F89789" w14:textId="77777777" w:rsidR="00A9231D" w:rsidRPr="00A9231D" w:rsidRDefault="00A9231D" w:rsidP="0003582C">
      <w:pPr>
        <w:pStyle w:val="ListParagraph"/>
        <w:numPr>
          <w:ilvl w:val="0"/>
          <w:numId w:val="13"/>
        </w:numPr>
        <w:jc w:val="both"/>
        <w:rPr>
          <w:rFonts w:ascii="Times New Roman" w:hAnsi="Times New Roman"/>
          <w:i/>
          <w:iCs/>
          <w:sz w:val="24"/>
          <w:szCs w:val="24"/>
        </w:rPr>
      </w:pPr>
      <w:r>
        <w:rPr>
          <w:rFonts w:ascii="Times New Roman" w:hAnsi="Times New Roman"/>
          <w:i/>
          <w:iCs/>
          <w:sz w:val="24"/>
          <w:szCs w:val="24"/>
        </w:rPr>
        <w:t>polarization loss: 3 dB</w:t>
      </w:r>
    </w:p>
    <w:p w14:paraId="5DEFB0EF" w14:textId="77777777" w:rsidR="00A9231D" w:rsidRDefault="00A9231D" w:rsidP="0057029E"/>
    <w:p w14:paraId="1FE94549" w14:textId="5A0CAFDE" w:rsidR="00324FC1" w:rsidRDefault="00352B0F" w:rsidP="00352B0F">
      <w:pPr>
        <w:jc w:val="both"/>
      </w:pPr>
      <w:r>
        <w:t xml:space="preserve">In </w:t>
      </w:r>
      <w:r w:rsidR="00DE5358">
        <w:t xml:space="preserve">NR </w:t>
      </w:r>
      <w:r>
        <w:t xml:space="preserve">terrestrial network, the simulation assumptions of base station include </w:t>
      </w:r>
      <w:r w:rsidR="00DE5358">
        <w:t>the number of transmit chains,</w:t>
      </w:r>
      <w:r w:rsidR="00324FC1">
        <w:t xml:space="preserve"> the number of TxRUs</w:t>
      </w:r>
      <w:r w:rsidR="00DE5358">
        <w:t xml:space="preserve">, the number of antenna elements, and the antenna element gain. These parameters are used to calculate base station antenna gain and subsequently </w:t>
      </w:r>
      <w:r w:rsidR="004F75DB">
        <w:t xml:space="preserve">base station </w:t>
      </w:r>
      <w:r w:rsidR="00DE5358">
        <w:t xml:space="preserve">EIRP. </w:t>
      </w:r>
    </w:p>
    <w:p w14:paraId="36B91900" w14:textId="7600EBFD" w:rsidR="00DE5358" w:rsidRDefault="00DE5358" w:rsidP="00352B0F">
      <w:pPr>
        <w:jc w:val="both"/>
      </w:pPr>
    </w:p>
    <w:p w14:paraId="349C7CC1" w14:textId="6384F22B" w:rsidR="00324FC1" w:rsidRDefault="00DE5358" w:rsidP="00324FC1">
      <w:pPr>
        <w:jc w:val="both"/>
      </w:pPr>
      <w:r>
        <w:t xml:space="preserve">In NR NTN service link, the simulation assumption is on satellite. Specifically, two sets of satellite parameters are provided in </w:t>
      </w:r>
      <w:r>
        <w:fldChar w:fldCharType="begin"/>
      </w:r>
      <w:r>
        <w:instrText xml:space="preserve"> REF _Ref100908432 \r \h </w:instrText>
      </w:r>
      <w:r>
        <w:fldChar w:fldCharType="separate"/>
      </w:r>
      <w:r w:rsidR="00B53188">
        <w:t>[4]</w:t>
      </w:r>
      <w:r>
        <w:fldChar w:fldCharType="end"/>
      </w:r>
      <w:r>
        <w:t xml:space="preserve">, which include </w:t>
      </w:r>
      <w:r w:rsidR="00410051">
        <w:t>both</w:t>
      </w:r>
      <w:r>
        <w:t xml:space="preserve"> satellite EIRP density</w:t>
      </w:r>
      <w:r w:rsidR="005E47AE">
        <w:t xml:space="preserve"> and G/T. These satellite parameters could be used as </w:t>
      </w:r>
      <w:r w:rsidR="00410051">
        <w:t xml:space="preserve">reference. </w:t>
      </w:r>
    </w:p>
    <w:p w14:paraId="46204C87" w14:textId="77777777" w:rsidR="00324FC1" w:rsidRDefault="00324FC1" w:rsidP="00324FC1">
      <w:pPr>
        <w:jc w:val="both"/>
      </w:pPr>
    </w:p>
    <w:p w14:paraId="4EC6C79B" w14:textId="4E86981B" w:rsidR="005E47AE" w:rsidRDefault="00324FC1" w:rsidP="005E47AE">
      <w:pPr>
        <w:jc w:val="both"/>
        <w:rPr>
          <w:i/>
          <w:iCs/>
        </w:rPr>
      </w:pPr>
      <w:r w:rsidRPr="003F245C">
        <w:rPr>
          <w:b/>
          <w:bCs/>
          <w:i/>
          <w:iCs/>
          <w:u w:val="single"/>
        </w:rPr>
        <w:t xml:space="preserve">Proposal </w:t>
      </w:r>
      <w:r>
        <w:rPr>
          <w:b/>
          <w:bCs/>
          <w:i/>
          <w:iCs/>
          <w:u w:val="single"/>
        </w:rPr>
        <w:t>3</w:t>
      </w:r>
      <w:r w:rsidRPr="003F245C">
        <w:rPr>
          <w:b/>
          <w:bCs/>
          <w:i/>
          <w:iCs/>
          <w:u w:val="single"/>
        </w:rPr>
        <w:t>:</w:t>
      </w:r>
      <w:r>
        <w:t xml:space="preserve"> </w:t>
      </w:r>
      <w:r>
        <w:rPr>
          <w:i/>
          <w:iCs/>
        </w:rPr>
        <w:t xml:space="preserve">The evaluation of the NR NTN coverage performance has the assumption of set-1 or set-2 satellite parameters </w:t>
      </w:r>
      <w:r w:rsidR="005E47AE">
        <w:rPr>
          <w:i/>
          <w:iCs/>
        </w:rPr>
        <w:t xml:space="preserve">(i.e., satellite EIRP density and G/T) </w:t>
      </w:r>
      <w:r>
        <w:rPr>
          <w:i/>
          <w:iCs/>
        </w:rPr>
        <w:t xml:space="preserve">as </w:t>
      </w:r>
      <w:r w:rsidR="004F75DB">
        <w:rPr>
          <w:i/>
          <w:iCs/>
        </w:rPr>
        <w:t>reference</w:t>
      </w:r>
      <w:r>
        <w:rPr>
          <w:i/>
          <w:iCs/>
        </w:rPr>
        <w:t xml:space="preserve">. </w:t>
      </w:r>
    </w:p>
    <w:p w14:paraId="2C6B0203" w14:textId="0492416E" w:rsidR="005E47AE" w:rsidRDefault="005E47AE" w:rsidP="00324FC1"/>
    <w:p w14:paraId="79E4CD1C" w14:textId="366CB872" w:rsidR="00270F16" w:rsidRDefault="00270F16" w:rsidP="00324FC1">
      <w:pPr>
        <w:pStyle w:val="Heading2"/>
      </w:pPr>
      <w:r>
        <w:t>Consideration of ITU limitation of PFD</w:t>
      </w:r>
    </w:p>
    <w:p w14:paraId="0943AEB6" w14:textId="0E3B970E" w:rsidR="00270F16" w:rsidRDefault="002F6EEF" w:rsidP="00410051">
      <w:pPr>
        <w:jc w:val="both"/>
      </w:pPr>
      <w:r>
        <w:t xml:space="preserve">It is mentioned in the work item descriptions that the evaluation should also take into account any related regulatory requirements, e.g., ITU limitation on power flux density (PFD). </w:t>
      </w:r>
    </w:p>
    <w:p w14:paraId="1F1EB5BA" w14:textId="782E588A" w:rsidR="000F34DF" w:rsidRDefault="000F34DF" w:rsidP="00324FC1"/>
    <w:p w14:paraId="2FB637E3" w14:textId="271AD85C" w:rsidR="000F34DF" w:rsidRDefault="000F34DF" w:rsidP="000F34D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Cs/>
        </w:rPr>
      </w:pPr>
      <w:r>
        <w:rPr>
          <w:rFonts w:eastAsia="SimSun"/>
          <w:bCs/>
        </w:rPr>
        <w:t xml:space="preserve">The operations of NTN on L-band or S-band is subject to radio regulations restriction. According to </w:t>
      </w:r>
      <w:r>
        <w:rPr>
          <w:rFonts w:eastAsia="SimSun"/>
          <w:bCs/>
        </w:rPr>
        <w:fldChar w:fldCharType="begin"/>
      </w:r>
      <w:r>
        <w:rPr>
          <w:rFonts w:eastAsia="SimSun"/>
          <w:bCs/>
        </w:rPr>
        <w:instrText xml:space="preserve"> REF _Ref100945999 \r \h </w:instrText>
      </w:r>
      <w:r>
        <w:rPr>
          <w:rFonts w:eastAsia="SimSun"/>
          <w:bCs/>
        </w:rPr>
      </w:r>
      <w:r>
        <w:rPr>
          <w:rFonts w:eastAsia="SimSun"/>
          <w:bCs/>
        </w:rPr>
        <w:fldChar w:fldCharType="separate"/>
      </w:r>
      <w:r w:rsidR="00B53188">
        <w:rPr>
          <w:rFonts w:eastAsia="SimSun"/>
          <w:bCs/>
        </w:rPr>
        <w:t>[7]</w:t>
      </w:r>
      <w:r>
        <w:rPr>
          <w:rFonts w:eastAsia="SimSun"/>
          <w:bCs/>
        </w:rPr>
        <w:fldChar w:fldCharType="end"/>
      </w:r>
      <w:r>
        <w:rPr>
          <w:rFonts w:eastAsia="SimSun"/>
          <w:bCs/>
        </w:rPr>
        <w:t>, the power flux density should be limited in order to protect terrestrial services. The power flux density threshold is</w:t>
      </w:r>
    </w:p>
    <w:p w14:paraId="4E414D32" w14:textId="77777777" w:rsidR="000F34DF" w:rsidRPr="000F34DF" w:rsidRDefault="000F34DF" w:rsidP="000F34D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jc w:val="both"/>
        <w:rPr>
          <w:rFonts w:eastAsia="SimSun"/>
        </w:rPr>
      </w:pPr>
      <m:oMathPara>
        <m:oMathParaPr>
          <m:jc m:val="center"/>
        </m:oMathParaPr>
        <m:oMath>
          <m:r>
            <w:rPr>
              <w:rFonts w:ascii="Cambria Math" w:eastAsia="SimSun" w:hAnsi="Cambria Math"/>
            </w:rPr>
            <m:t xml:space="preserve">P  for </m:t>
          </m:r>
          <m:sSup>
            <m:sSupPr>
              <m:ctrlPr>
                <w:rPr>
                  <w:rFonts w:ascii="Cambria Math" w:eastAsia="SimSun" w:hAnsi="Cambria Math"/>
                  <w:bCs/>
                  <w:i/>
                </w:rPr>
              </m:ctrlPr>
            </m:sSupPr>
            <m:e>
              <m:r>
                <w:rPr>
                  <w:rFonts w:ascii="Cambria Math" w:eastAsia="SimSun" w:hAnsi="Cambria Math"/>
                </w:rPr>
                <m:t>0</m:t>
              </m:r>
            </m:e>
            <m:sup>
              <m:r>
                <w:rPr>
                  <w:rFonts w:ascii="Cambria Math" w:eastAsia="SimSun" w:hAnsi="Cambria Math"/>
                </w:rPr>
                <m:t>o</m:t>
              </m:r>
            </m:sup>
          </m:sSup>
          <m:r>
            <w:rPr>
              <w:rFonts w:ascii="Cambria Math" w:eastAsia="SimSun" w:hAnsi="Cambria Math"/>
            </w:rPr>
            <m:t>≤δ≤</m:t>
          </m:r>
          <m:sSup>
            <m:sSupPr>
              <m:ctrlPr>
                <w:rPr>
                  <w:rFonts w:ascii="Cambria Math" w:eastAsia="SimSun" w:hAnsi="Cambria Math"/>
                  <w:bCs/>
                  <w:i/>
                </w:rPr>
              </m:ctrlPr>
            </m:sSupPr>
            <m:e>
              <m:r>
                <w:rPr>
                  <w:rFonts w:ascii="Cambria Math" w:eastAsia="SimSun" w:hAnsi="Cambria Math"/>
                </w:rPr>
                <m:t>5</m:t>
              </m:r>
            </m:e>
            <m:sup>
              <m:r>
                <w:rPr>
                  <w:rFonts w:ascii="Cambria Math" w:eastAsia="SimSun" w:hAnsi="Cambria Math"/>
                </w:rPr>
                <m:t>o</m:t>
              </m:r>
            </m:sup>
          </m:sSup>
          <m:r>
            <w:rPr>
              <w:rFonts w:ascii="Cambria Math" w:eastAsia="SimSun" w:hAnsi="Cambria Math"/>
            </w:rPr>
            <m:t xml:space="preserve">; </m:t>
          </m:r>
        </m:oMath>
      </m:oMathPara>
    </w:p>
    <w:p w14:paraId="7C8051AA" w14:textId="77777777" w:rsidR="000F34DF" w:rsidRPr="000F34DF" w:rsidRDefault="000F34DF" w:rsidP="000F34D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jc w:val="both"/>
        <w:rPr>
          <w:rFonts w:eastAsia="SimSun"/>
        </w:rPr>
      </w:pPr>
      <m:oMathPara>
        <m:oMathParaPr>
          <m:jc m:val="center"/>
        </m:oMathParaPr>
        <m:oMath>
          <m:r>
            <w:rPr>
              <w:rFonts w:ascii="Cambria Math" w:eastAsia="SimSun" w:hAnsi="Cambria Math"/>
            </w:rPr>
            <m:t>P+r</m:t>
          </m:r>
          <m:d>
            <m:dPr>
              <m:ctrlPr>
                <w:rPr>
                  <w:rFonts w:ascii="Cambria Math" w:eastAsia="SimSun" w:hAnsi="Cambria Math"/>
                  <w:bCs/>
                  <w:i/>
                </w:rPr>
              </m:ctrlPr>
            </m:dPr>
            <m:e>
              <m:r>
                <w:rPr>
                  <w:rFonts w:ascii="Cambria Math" w:eastAsia="SimSun" w:hAnsi="Cambria Math"/>
                </w:rPr>
                <m:t>δ-5</m:t>
              </m:r>
            </m:e>
          </m:d>
          <m:r>
            <w:rPr>
              <w:rFonts w:ascii="Cambria Math" w:eastAsia="SimSun" w:hAnsi="Cambria Math"/>
            </w:rPr>
            <m:t xml:space="preserve"> for </m:t>
          </m:r>
          <m:sSup>
            <m:sSupPr>
              <m:ctrlPr>
                <w:rPr>
                  <w:rFonts w:ascii="Cambria Math" w:eastAsia="SimSun" w:hAnsi="Cambria Math"/>
                  <w:bCs/>
                  <w:i/>
                </w:rPr>
              </m:ctrlPr>
            </m:sSupPr>
            <m:e>
              <m:r>
                <w:rPr>
                  <w:rFonts w:ascii="Cambria Math" w:eastAsia="SimSun" w:hAnsi="Cambria Math"/>
                </w:rPr>
                <m:t>5</m:t>
              </m:r>
            </m:e>
            <m:sup>
              <m:r>
                <w:rPr>
                  <w:rFonts w:ascii="Cambria Math" w:eastAsia="SimSun" w:hAnsi="Cambria Math"/>
                </w:rPr>
                <m:t>o</m:t>
              </m:r>
            </m:sup>
          </m:sSup>
          <m:r>
            <w:rPr>
              <w:rFonts w:ascii="Cambria Math" w:eastAsia="SimSun" w:hAnsi="Cambria Math"/>
            </w:rPr>
            <m:t>&lt;δ≤</m:t>
          </m:r>
          <m:sSup>
            <m:sSupPr>
              <m:ctrlPr>
                <w:rPr>
                  <w:rFonts w:ascii="Cambria Math" w:eastAsia="SimSun" w:hAnsi="Cambria Math"/>
                  <w:bCs/>
                  <w:i/>
                </w:rPr>
              </m:ctrlPr>
            </m:sSupPr>
            <m:e>
              <m:r>
                <w:rPr>
                  <w:rFonts w:ascii="Cambria Math" w:eastAsia="SimSun" w:hAnsi="Cambria Math"/>
                </w:rPr>
                <m:t>25</m:t>
              </m:r>
            </m:e>
            <m:sup>
              <m:r>
                <w:rPr>
                  <w:rFonts w:ascii="Cambria Math" w:eastAsia="SimSun" w:hAnsi="Cambria Math"/>
                </w:rPr>
                <m:t>o</m:t>
              </m:r>
            </m:sup>
          </m:sSup>
          <m:r>
            <w:rPr>
              <w:rFonts w:ascii="Cambria Math" w:eastAsia="SimSun" w:hAnsi="Cambria Math"/>
            </w:rPr>
            <m:t>;</m:t>
          </m:r>
        </m:oMath>
      </m:oMathPara>
    </w:p>
    <w:p w14:paraId="7C8ACBBD" w14:textId="052EBA0B" w:rsidR="000F34DF" w:rsidRPr="000F34DF" w:rsidRDefault="000F34DF" w:rsidP="000F34D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jc w:val="both"/>
        <w:rPr>
          <w:rFonts w:eastAsia="SimSun"/>
        </w:rPr>
      </w:pPr>
      <m:oMathPara>
        <m:oMathParaPr>
          <m:jc m:val="center"/>
        </m:oMathParaPr>
        <m:oMath>
          <m:r>
            <w:rPr>
              <w:rFonts w:ascii="Cambria Math" w:eastAsia="SimSun" w:hAnsi="Cambria Math"/>
            </w:rPr>
            <m:t xml:space="preserve">P+20r  for </m:t>
          </m:r>
          <m:sSup>
            <m:sSupPr>
              <m:ctrlPr>
                <w:rPr>
                  <w:rFonts w:ascii="Cambria Math" w:eastAsia="SimSun" w:hAnsi="Cambria Math"/>
                  <w:bCs/>
                  <w:i/>
                </w:rPr>
              </m:ctrlPr>
            </m:sSupPr>
            <m:e>
              <m:r>
                <w:rPr>
                  <w:rFonts w:ascii="Cambria Math" w:eastAsia="SimSun" w:hAnsi="Cambria Math"/>
                </w:rPr>
                <m:t>25</m:t>
              </m:r>
            </m:e>
            <m:sup>
              <m:r>
                <w:rPr>
                  <w:rFonts w:ascii="Cambria Math" w:eastAsia="SimSun" w:hAnsi="Cambria Math"/>
                </w:rPr>
                <m:t>o</m:t>
              </m:r>
            </m:sup>
          </m:sSup>
          <m:r>
            <w:rPr>
              <w:rFonts w:ascii="Cambria Math" w:eastAsia="SimSun" w:hAnsi="Cambria Math"/>
            </w:rPr>
            <m:t>&lt;δ≤</m:t>
          </m:r>
          <m:sSup>
            <m:sSupPr>
              <m:ctrlPr>
                <w:rPr>
                  <w:rFonts w:ascii="Cambria Math" w:eastAsia="SimSun" w:hAnsi="Cambria Math"/>
                  <w:bCs/>
                  <w:i/>
                </w:rPr>
              </m:ctrlPr>
            </m:sSupPr>
            <m:e>
              <m:r>
                <w:rPr>
                  <w:rFonts w:ascii="Cambria Math" w:eastAsia="SimSun" w:hAnsi="Cambria Math"/>
                </w:rPr>
                <m:t>90</m:t>
              </m:r>
            </m:e>
            <m:sup>
              <m:r>
                <w:rPr>
                  <w:rFonts w:ascii="Cambria Math" w:eastAsia="SimSun" w:hAnsi="Cambria Math"/>
                </w:rPr>
                <m:t>o</m:t>
              </m:r>
            </m:sup>
          </m:sSup>
          <m:r>
            <w:rPr>
              <w:rFonts w:ascii="Cambria Math" w:eastAsia="SimSun" w:hAnsi="Cambria Math"/>
            </w:rPr>
            <m:t>,</m:t>
          </m:r>
        </m:oMath>
      </m:oMathPara>
    </w:p>
    <w:p w14:paraId="6CA3E5A0" w14:textId="1CE5CF9F" w:rsidR="000F34DF" w:rsidRPr="00997CD0" w:rsidRDefault="000F34DF" w:rsidP="000F34D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120" w:after="120"/>
        <w:jc w:val="both"/>
        <w:rPr>
          <w:rFonts w:eastAsia="SimSun"/>
          <w:bCs/>
        </w:rPr>
      </w:pPr>
      <w:r>
        <w:rPr>
          <w:rFonts w:eastAsia="SimSun"/>
          <w:bCs/>
        </w:rPr>
        <w:lastRenderedPageBreak/>
        <w:t xml:space="preserve">where </w:t>
      </w:r>
      <m:oMath>
        <m:r>
          <w:rPr>
            <w:rFonts w:ascii="Cambria Math" w:eastAsia="SimSun" w:hAnsi="Cambria Math"/>
          </w:rPr>
          <m:t>δ</m:t>
        </m:r>
      </m:oMath>
      <w:r>
        <w:rPr>
          <w:rFonts w:eastAsia="SimSun"/>
        </w:rPr>
        <w:t xml:space="preserve"> is the elevation angle, and</w:t>
      </w:r>
      <w:r>
        <w:rPr>
          <w:rFonts w:eastAsia="SimSun"/>
          <w:bCs/>
        </w:rPr>
        <w:t xml:space="preserve"> the parameters </w:t>
      </w:r>
      <m:oMath>
        <m:r>
          <w:rPr>
            <w:rFonts w:ascii="Cambria Math" w:eastAsia="SimSun" w:hAnsi="Cambria Math"/>
          </w:rPr>
          <m:t>P</m:t>
        </m:r>
      </m:oMath>
      <w:r>
        <w:rPr>
          <w:rFonts w:eastAsia="SimSun"/>
          <w:bCs/>
        </w:rPr>
        <w:t xml:space="preserve">, </w:t>
      </w:r>
      <m:oMath>
        <m:r>
          <w:rPr>
            <w:rFonts w:ascii="Cambria Math" w:eastAsia="SimSun" w:hAnsi="Cambria Math"/>
          </w:rPr>
          <m:t>r</m:t>
        </m:r>
      </m:oMath>
      <w:r>
        <w:rPr>
          <w:rFonts w:eastAsia="SimSun"/>
          <w:bCs/>
        </w:rPr>
        <w:t xml:space="preserve"> are given in </w:t>
      </w:r>
      <w:r>
        <w:rPr>
          <w:rFonts w:eastAsia="SimSun"/>
          <w:bCs/>
        </w:rPr>
        <w:fldChar w:fldCharType="begin"/>
      </w:r>
      <w:r>
        <w:rPr>
          <w:rFonts w:eastAsia="SimSun"/>
          <w:bCs/>
        </w:rPr>
        <w:instrText xml:space="preserve"> REF _Ref100946106 \h </w:instrText>
      </w:r>
      <w:r>
        <w:rPr>
          <w:rFonts w:eastAsia="SimSun"/>
          <w:bCs/>
        </w:rPr>
      </w:r>
      <w:r>
        <w:rPr>
          <w:rFonts w:eastAsia="SimSun"/>
          <w:bCs/>
        </w:rPr>
        <w:fldChar w:fldCharType="separate"/>
      </w:r>
      <w:r w:rsidR="00B53188">
        <w:t xml:space="preserve">Table </w:t>
      </w:r>
      <w:r w:rsidR="00B53188">
        <w:rPr>
          <w:noProof/>
        </w:rPr>
        <w:t>1</w:t>
      </w:r>
      <w:r>
        <w:rPr>
          <w:rFonts w:eastAsia="SimSun"/>
          <w:bCs/>
        </w:rPr>
        <w:fldChar w:fldCharType="end"/>
      </w:r>
      <w:r>
        <w:rPr>
          <w:rFonts w:eastAsia="SimSun"/>
          <w:bCs/>
        </w:rPr>
        <w:t>.</w:t>
      </w:r>
    </w:p>
    <w:p w14:paraId="73B70E6A" w14:textId="77777777" w:rsidR="000F34DF" w:rsidRDefault="000F34DF" w:rsidP="000F34D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Cs/>
        </w:rPr>
      </w:pPr>
    </w:p>
    <w:p w14:paraId="50B0E2FB" w14:textId="7D2A8059" w:rsidR="000F34DF" w:rsidRDefault="000F34DF" w:rsidP="000F34D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Cs/>
        </w:rPr>
      </w:pPr>
      <w:r>
        <w:rPr>
          <w:rFonts w:eastAsia="SimSun"/>
          <w:bCs/>
        </w:rPr>
        <w:t xml:space="preserve">For example, at the downlink frequency of 2160-2200 MHz, the NGSO space stations should apply the power flux density calculation factors of </w:t>
      </w:r>
      <m:oMath>
        <m:r>
          <w:rPr>
            <w:rFonts w:ascii="Cambria Math" w:eastAsia="SimSun" w:hAnsi="Cambria Math"/>
          </w:rPr>
          <m:t>P=-123 dB(W/</m:t>
        </m:r>
        <m:sSup>
          <m:sSupPr>
            <m:ctrlPr>
              <w:rPr>
                <w:rFonts w:ascii="Cambria Math" w:eastAsia="SimSun" w:hAnsi="Cambria Math"/>
                <w:bCs/>
                <w:i/>
              </w:rPr>
            </m:ctrlPr>
          </m:sSupPr>
          <m:e>
            <m:r>
              <w:rPr>
                <w:rFonts w:ascii="Cambria Math" w:eastAsia="SimSun" w:hAnsi="Cambria Math"/>
              </w:rPr>
              <m:t>m</m:t>
            </m:r>
          </m:e>
          <m:sup>
            <m:r>
              <w:rPr>
                <w:rFonts w:ascii="Cambria Math" w:eastAsia="SimSun" w:hAnsi="Cambria Math"/>
              </w:rPr>
              <m:t>2</m:t>
            </m:r>
          </m:sup>
        </m:sSup>
        <m:r>
          <w:rPr>
            <w:rFonts w:ascii="Cambria Math" w:eastAsia="SimSun" w:hAnsi="Cambria Math"/>
          </w:rPr>
          <m:t>)</m:t>
        </m:r>
      </m:oMath>
      <w:r>
        <w:rPr>
          <w:rFonts w:eastAsia="SimSun"/>
          <w:bCs/>
        </w:rPr>
        <w:t xml:space="preserve"> in 1 MHz and </w:t>
      </w:r>
      <m:oMath>
        <m:r>
          <w:rPr>
            <w:rFonts w:ascii="Cambria Math" w:eastAsia="SimSun" w:hAnsi="Cambria Math"/>
          </w:rPr>
          <m:t>r=0.5</m:t>
        </m:r>
      </m:oMath>
      <w:r>
        <w:rPr>
          <w:rFonts w:eastAsia="SimSun"/>
          <w:bCs/>
        </w:rPr>
        <w:t xml:space="preserve"> dB/degree. For elevation angle of </w:t>
      </w:r>
      <w:r w:rsidR="00CF2914">
        <w:rPr>
          <w:rFonts w:eastAsia="SimSun"/>
          <w:bCs/>
        </w:rPr>
        <w:t>9</w:t>
      </w:r>
      <w:r>
        <w:rPr>
          <w:rFonts w:eastAsia="SimSun"/>
          <w:bCs/>
        </w:rPr>
        <w:t xml:space="preserve">0 degrees, the power flux density is given by </w:t>
      </w:r>
      <m:oMath>
        <m:r>
          <w:rPr>
            <w:rFonts w:ascii="Cambria Math" w:eastAsia="SimSun" w:hAnsi="Cambria Math"/>
          </w:rPr>
          <m:t>P+20*r</m:t>
        </m:r>
      </m:oMath>
      <w:r>
        <w:rPr>
          <w:rFonts w:eastAsia="SimSun"/>
          <w:bCs/>
        </w:rPr>
        <w:t xml:space="preserve">, which is equal to </w:t>
      </w:r>
      <m:oMath>
        <m:r>
          <w:rPr>
            <w:rFonts w:ascii="Cambria Math" w:eastAsia="SimSun" w:hAnsi="Cambria Math"/>
          </w:rPr>
          <m:t>-113 dB(W/</m:t>
        </m:r>
        <m:sSup>
          <m:sSupPr>
            <m:ctrlPr>
              <w:rPr>
                <w:rFonts w:ascii="Cambria Math" w:eastAsia="SimSun" w:hAnsi="Cambria Math"/>
                <w:bCs/>
                <w:i/>
              </w:rPr>
            </m:ctrlPr>
          </m:sSupPr>
          <m:e>
            <m:r>
              <w:rPr>
                <w:rFonts w:ascii="Cambria Math" w:eastAsia="SimSun" w:hAnsi="Cambria Math"/>
              </w:rPr>
              <m:t>m</m:t>
            </m:r>
          </m:e>
          <m:sup>
            <m:r>
              <w:rPr>
                <w:rFonts w:ascii="Cambria Math" w:eastAsia="SimSun" w:hAnsi="Cambria Math"/>
              </w:rPr>
              <m:t>2</m:t>
            </m:r>
          </m:sup>
        </m:sSup>
        <m:r>
          <w:rPr>
            <w:rFonts w:ascii="Cambria Math" w:eastAsia="SimSun" w:hAnsi="Cambria Math"/>
          </w:rPr>
          <m:t>)</m:t>
        </m:r>
      </m:oMath>
      <w:r>
        <w:rPr>
          <w:rFonts w:eastAsia="SimSun"/>
          <w:bCs/>
        </w:rPr>
        <w:t xml:space="preserve"> in 1 MHz.</w:t>
      </w:r>
    </w:p>
    <w:p w14:paraId="25079A46" w14:textId="5D32AF69" w:rsidR="000F34DF" w:rsidRDefault="000F34DF" w:rsidP="00324FC1"/>
    <w:p w14:paraId="70EDF6A4" w14:textId="50FA376F" w:rsidR="000F34DF" w:rsidRDefault="000F34DF" w:rsidP="000F34D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eastAsia="SimSun"/>
          <w:bCs/>
        </w:rPr>
      </w:pPr>
      <w:r>
        <w:rPr>
          <w:rFonts w:eastAsia="SimSun"/>
          <w:bCs/>
        </w:rPr>
        <w:t xml:space="preserve">The power flux density is defined as the amount of power flow through a unit area within a unit bandwidth. The power flux density is calculated by </w:t>
      </w:r>
      <m:oMath>
        <m:f>
          <m:fPr>
            <m:ctrlPr>
              <w:rPr>
                <w:rFonts w:ascii="Cambria Math" w:eastAsia="SimSun" w:hAnsi="Cambria Math"/>
                <w:bCs/>
                <w:i/>
              </w:rPr>
            </m:ctrlPr>
          </m:fPr>
          <m:num>
            <m:r>
              <w:rPr>
                <w:rFonts w:ascii="Cambria Math" w:eastAsia="SimSun" w:hAnsi="Cambria Math"/>
              </w:rPr>
              <m:t>EIRP</m:t>
            </m:r>
          </m:num>
          <m:den>
            <m:r>
              <w:rPr>
                <w:rFonts w:ascii="Cambria Math" w:eastAsia="SimSun" w:hAnsi="Cambria Math"/>
              </w:rPr>
              <m:t>4π</m:t>
            </m:r>
            <m:sSup>
              <m:sSupPr>
                <m:ctrlPr>
                  <w:rPr>
                    <w:rFonts w:ascii="Cambria Math" w:eastAsia="SimSun" w:hAnsi="Cambria Math"/>
                    <w:bCs/>
                    <w:i/>
                  </w:rPr>
                </m:ctrlPr>
              </m:sSupPr>
              <m:e>
                <m:r>
                  <w:rPr>
                    <w:rFonts w:ascii="Cambria Math" w:eastAsia="SimSun" w:hAnsi="Cambria Math"/>
                  </w:rPr>
                  <m:t>d</m:t>
                </m:r>
              </m:e>
              <m:sup>
                <m:r>
                  <w:rPr>
                    <w:rFonts w:ascii="Cambria Math" w:eastAsia="SimSun" w:hAnsi="Cambria Math"/>
                  </w:rPr>
                  <m:t>2</m:t>
                </m:r>
              </m:sup>
            </m:sSup>
          </m:den>
        </m:f>
      </m:oMath>
      <w:r>
        <w:rPr>
          <w:rFonts w:eastAsia="SimSun"/>
          <w:bCs/>
        </w:rPr>
        <w:t xml:space="preserve">, where </w:t>
      </w:r>
      <m:oMath>
        <m:r>
          <w:rPr>
            <w:rFonts w:ascii="Cambria Math" w:eastAsia="SimSun" w:hAnsi="Cambria Math"/>
          </w:rPr>
          <m:t xml:space="preserve">d </m:t>
        </m:r>
      </m:oMath>
      <w:r>
        <w:rPr>
          <w:rFonts w:eastAsia="SimSun"/>
          <w:bCs/>
        </w:rPr>
        <w:t xml:space="preserve">is the distance from satellite to UE. </w:t>
      </w:r>
      <w:r>
        <w:rPr>
          <w:rFonts w:eastAsia="SimSun"/>
        </w:rPr>
        <w:t xml:space="preserve">For example, the power flux density limitation of </w:t>
      </w:r>
      <m:oMath>
        <m:r>
          <w:rPr>
            <w:rFonts w:ascii="Cambria Math" w:eastAsia="SimSun" w:hAnsi="Cambria Math"/>
          </w:rPr>
          <m:t>-113 dB(W/</m:t>
        </m:r>
        <m:sSup>
          <m:sSupPr>
            <m:ctrlPr>
              <w:rPr>
                <w:rFonts w:ascii="Cambria Math" w:eastAsia="SimSun" w:hAnsi="Cambria Math"/>
                <w:bCs/>
                <w:i/>
              </w:rPr>
            </m:ctrlPr>
          </m:sSupPr>
          <m:e>
            <m:r>
              <w:rPr>
                <w:rFonts w:ascii="Cambria Math" w:eastAsia="SimSun" w:hAnsi="Cambria Math"/>
              </w:rPr>
              <m:t>m</m:t>
            </m:r>
          </m:e>
          <m:sup>
            <m:r>
              <w:rPr>
                <w:rFonts w:ascii="Cambria Math" w:eastAsia="SimSun" w:hAnsi="Cambria Math"/>
              </w:rPr>
              <m:t>2</m:t>
            </m:r>
          </m:sup>
        </m:sSup>
        <m:r>
          <w:rPr>
            <w:rFonts w:ascii="Cambria Math" w:eastAsia="SimSun" w:hAnsi="Cambria Math"/>
          </w:rPr>
          <m:t>)</m:t>
        </m:r>
      </m:oMath>
      <w:r>
        <w:rPr>
          <w:rFonts w:eastAsia="SimSun"/>
          <w:bCs/>
        </w:rPr>
        <w:t xml:space="preserve"> in 1 MHz implies that satellite EIRP density is </w:t>
      </w:r>
      <m:oMath>
        <m:r>
          <w:rPr>
            <w:rFonts w:ascii="Cambria Math" w:eastAsia="SimSun" w:hAnsi="Cambria Math"/>
          </w:rPr>
          <m:t>-113+10*</m:t>
        </m:r>
        <m:func>
          <m:funcPr>
            <m:ctrlPr>
              <w:rPr>
                <w:rFonts w:ascii="Cambria Math" w:eastAsia="SimSun" w:hAnsi="Cambria Math"/>
                <w:bCs/>
                <w:i/>
              </w:rPr>
            </m:ctrlPr>
          </m:funcPr>
          <m:fName>
            <m:sSub>
              <m:sSubPr>
                <m:ctrlPr>
                  <w:rPr>
                    <w:rFonts w:ascii="Cambria Math" w:eastAsia="SimSun" w:hAnsi="Cambria Math"/>
                    <w:bCs/>
                    <w:i/>
                  </w:rPr>
                </m:ctrlPr>
              </m:sSubPr>
              <m:e>
                <m:r>
                  <m:rPr>
                    <m:sty m:val="p"/>
                  </m:rPr>
                  <w:rPr>
                    <w:rFonts w:ascii="Cambria Math" w:eastAsia="SimSun" w:hAnsi="Cambria Math"/>
                  </w:rPr>
                  <m:t>log</m:t>
                </m:r>
              </m:e>
              <m:sub>
                <m:r>
                  <w:rPr>
                    <w:rFonts w:ascii="Cambria Math" w:eastAsia="SimSun" w:hAnsi="Cambria Math"/>
                  </w:rPr>
                  <m:t>10</m:t>
                </m:r>
                <m:ctrlPr>
                  <w:rPr>
                    <w:rFonts w:ascii="Cambria Math" w:eastAsia="SimSun" w:hAnsi="Cambria Math"/>
                    <w:bCs/>
                  </w:rPr>
                </m:ctrlPr>
              </m:sub>
            </m:sSub>
          </m:fName>
          <m:e>
            <m:r>
              <w:rPr>
                <w:rFonts w:ascii="Cambria Math" w:eastAsia="SimSun" w:hAnsi="Cambria Math"/>
              </w:rPr>
              <m:t>(4π</m:t>
            </m:r>
            <m:sSup>
              <m:sSupPr>
                <m:ctrlPr>
                  <w:rPr>
                    <w:rFonts w:ascii="Cambria Math" w:eastAsia="SimSun" w:hAnsi="Cambria Math"/>
                    <w:bCs/>
                    <w:i/>
                  </w:rPr>
                </m:ctrlPr>
              </m:sSupPr>
              <m:e>
                <m:r>
                  <w:rPr>
                    <w:rFonts w:ascii="Cambria Math" w:eastAsia="SimSun" w:hAnsi="Cambria Math"/>
                  </w:rPr>
                  <m:t>d</m:t>
                </m:r>
              </m:e>
              <m:sup>
                <m:r>
                  <w:rPr>
                    <w:rFonts w:ascii="Cambria Math" w:eastAsia="SimSun" w:hAnsi="Cambria Math"/>
                  </w:rPr>
                  <m:t>2</m:t>
                </m:r>
              </m:sup>
            </m:sSup>
          </m:e>
        </m:func>
        <m:r>
          <w:rPr>
            <w:rFonts w:ascii="Cambria Math" w:eastAsia="SimSun" w:hAnsi="Cambria Math"/>
          </w:rPr>
          <m:t>)</m:t>
        </m:r>
      </m:oMath>
      <w:r>
        <w:rPr>
          <w:rFonts w:eastAsia="SimSun"/>
          <w:bCs/>
        </w:rPr>
        <w:t xml:space="preserve"> dBW/MHz. Here, we ignore </w:t>
      </w:r>
      <w:r w:rsidRPr="00E37D44">
        <w:rPr>
          <w:rFonts w:eastAsia="SimSun"/>
          <w:bCs/>
        </w:rPr>
        <w:t>the losses (e.g., atmospheric path loss, scintillation loss, etc) in the calculation for simplicity.</w:t>
      </w:r>
    </w:p>
    <w:p w14:paraId="7C803FFC" w14:textId="6C53BE22" w:rsidR="000F34DF" w:rsidRDefault="000F34DF" w:rsidP="00324FC1"/>
    <w:p w14:paraId="63B2205A" w14:textId="0257287A" w:rsidR="000F34DF" w:rsidRDefault="000F34DF" w:rsidP="000F34DF">
      <w:pPr>
        <w:jc w:val="both"/>
        <w:rPr>
          <w:rFonts w:eastAsia="SimSun"/>
          <w:bCs/>
        </w:rPr>
      </w:pPr>
      <w:r>
        <w:rPr>
          <w:rFonts w:eastAsia="SimSun"/>
          <w:bCs/>
        </w:rPr>
        <w:t xml:space="preserve">In case of LEO-600 at elevation angle of </w:t>
      </w:r>
      <w:r w:rsidR="00CF2914">
        <w:rPr>
          <w:rFonts w:eastAsia="SimSun"/>
          <w:bCs/>
        </w:rPr>
        <w:t>9</w:t>
      </w:r>
      <w:r>
        <w:rPr>
          <w:rFonts w:eastAsia="SimSun"/>
          <w:bCs/>
        </w:rPr>
        <w:t xml:space="preserve">0 degrees, the satellite EIRP </w:t>
      </w:r>
      <w:r w:rsidR="00801D51">
        <w:rPr>
          <w:rFonts w:eastAsia="SimSun"/>
          <w:bCs/>
        </w:rPr>
        <w:t xml:space="preserve">density </w:t>
      </w:r>
      <w:r>
        <w:rPr>
          <w:rFonts w:eastAsia="SimSun"/>
          <w:bCs/>
        </w:rPr>
        <w:t xml:space="preserve">is only </w:t>
      </w:r>
      <w:r w:rsidR="00CF2914">
        <w:rPr>
          <w:rFonts w:eastAsia="SimSun"/>
          <w:bCs/>
        </w:rPr>
        <w:t>14</w:t>
      </w:r>
      <w:r>
        <w:rPr>
          <w:rFonts w:eastAsia="SimSun"/>
          <w:bCs/>
        </w:rPr>
        <w:t xml:space="preserve"> dBW</w:t>
      </w:r>
      <w:r w:rsidR="00801D51">
        <w:rPr>
          <w:rFonts w:eastAsia="SimSun"/>
          <w:bCs/>
        </w:rPr>
        <w:t>/MHz</w:t>
      </w:r>
      <w:r w:rsidR="00CF2914">
        <w:rPr>
          <w:rFonts w:eastAsia="SimSun"/>
          <w:bCs/>
        </w:rPr>
        <w:t>.</w:t>
      </w:r>
      <w:r w:rsidR="00A10C66">
        <w:rPr>
          <w:rFonts w:eastAsia="SimSun"/>
          <w:bCs/>
        </w:rPr>
        <w:t xml:space="preserve"> </w:t>
      </w:r>
      <w:r w:rsidR="00CF2914">
        <w:rPr>
          <w:rFonts w:eastAsia="SimSun"/>
          <w:bCs/>
        </w:rPr>
        <w:t>In other words, to meet the power flux density limitation, the satellite EIRP density has to be reduced from 34 dBW/MHz in set 1</w:t>
      </w:r>
      <w:r w:rsidR="00CF2914" w:rsidRPr="00152972">
        <w:rPr>
          <w:lang w:eastAsia="ja-JP"/>
        </w:rPr>
        <w:t xml:space="preserve"> </w:t>
      </w:r>
      <w:r w:rsidR="00CF2914">
        <w:rPr>
          <w:lang w:eastAsia="ja-JP"/>
        </w:rPr>
        <w:t xml:space="preserve">satellite parameters </w:t>
      </w:r>
      <w:r w:rsidR="00CF2914">
        <w:rPr>
          <w:rFonts w:eastAsia="SimSun"/>
          <w:bCs/>
        </w:rPr>
        <w:t>to 1</w:t>
      </w:r>
      <w:r w:rsidR="00801D51">
        <w:rPr>
          <w:rFonts w:eastAsia="SimSun"/>
          <w:bCs/>
        </w:rPr>
        <w:t>4</w:t>
      </w:r>
      <w:r w:rsidR="00CF2914">
        <w:rPr>
          <w:rFonts w:eastAsia="SimSun"/>
          <w:bCs/>
        </w:rPr>
        <w:t xml:space="preserve"> dBW</w:t>
      </w:r>
      <w:r w:rsidR="00A10C66">
        <w:rPr>
          <w:rFonts w:eastAsia="SimSun"/>
          <w:bCs/>
        </w:rPr>
        <w:t>/MHz</w:t>
      </w:r>
      <w:r w:rsidR="00CF2914">
        <w:rPr>
          <w:rFonts w:eastAsia="SimSun"/>
          <w:bCs/>
        </w:rPr>
        <w:t xml:space="preserve">. This power flux density limitation will result in a reduction of </w:t>
      </w:r>
      <w:r w:rsidR="00801D51">
        <w:rPr>
          <w:rFonts w:eastAsia="SimSun"/>
          <w:bCs/>
        </w:rPr>
        <w:t>20</w:t>
      </w:r>
      <w:r w:rsidR="00CF2914">
        <w:rPr>
          <w:rFonts w:eastAsia="SimSun"/>
          <w:bCs/>
        </w:rPr>
        <w:t xml:space="preserve"> dB on satellite EIRP. </w:t>
      </w:r>
    </w:p>
    <w:p w14:paraId="568E871B" w14:textId="34E1FFDC" w:rsidR="00CF2914" w:rsidRDefault="00CF2914" w:rsidP="000F34DF">
      <w:pPr>
        <w:jc w:val="both"/>
        <w:rPr>
          <w:rFonts w:eastAsia="SimSun"/>
          <w:bCs/>
        </w:rPr>
      </w:pPr>
    </w:p>
    <w:p w14:paraId="5D2167B9" w14:textId="77473948" w:rsidR="00CF2914" w:rsidRDefault="00CF2914" w:rsidP="000F34DF">
      <w:pPr>
        <w:jc w:val="both"/>
        <w:rPr>
          <w:rFonts w:eastAsia="SimSun"/>
          <w:bCs/>
        </w:rPr>
      </w:pPr>
      <w:r>
        <w:rPr>
          <w:rFonts w:eastAsia="SimSun"/>
          <w:bCs/>
        </w:rPr>
        <w:t>Similarly, in case of LEO-1200 or GEO at elevation angle of 90 degrees, the satellite EIRP density is only 20 dBW</w:t>
      </w:r>
      <w:r w:rsidR="00801D51">
        <w:rPr>
          <w:rFonts w:eastAsia="SimSun"/>
          <w:bCs/>
        </w:rPr>
        <w:t>/MHz</w:t>
      </w:r>
      <w:r>
        <w:rPr>
          <w:rFonts w:eastAsia="SimSun"/>
          <w:bCs/>
        </w:rPr>
        <w:t xml:space="preserve"> or 4</w:t>
      </w:r>
      <w:r w:rsidR="00740B36">
        <w:rPr>
          <w:rFonts w:eastAsia="SimSun"/>
          <w:bCs/>
        </w:rPr>
        <w:t>4</w:t>
      </w:r>
      <w:r>
        <w:rPr>
          <w:rFonts w:eastAsia="SimSun"/>
          <w:bCs/>
        </w:rPr>
        <w:t xml:space="preserve"> dBW</w:t>
      </w:r>
      <w:r w:rsidR="00801D51">
        <w:rPr>
          <w:rFonts w:eastAsia="SimSun"/>
          <w:bCs/>
        </w:rPr>
        <w:t>/MHz</w:t>
      </w:r>
      <w:r>
        <w:rPr>
          <w:rFonts w:eastAsia="SimSun"/>
          <w:bCs/>
        </w:rPr>
        <w:t>.</w:t>
      </w:r>
    </w:p>
    <w:p w14:paraId="2A2F6F12" w14:textId="78C4BDF5" w:rsidR="0092449D" w:rsidRDefault="0092449D" w:rsidP="000F34DF">
      <w:pPr>
        <w:jc w:val="both"/>
        <w:rPr>
          <w:rFonts w:eastAsia="SimSun"/>
          <w:bCs/>
        </w:rPr>
      </w:pPr>
    </w:p>
    <w:p w14:paraId="12752D47" w14:textId="084A11FF" w:rsidR="0092449D" w:rsidRDefault="0092449D" w:rsidP="00740B36">
      <w:pPr>
        <w:jc w:val="both"/>
        <w:rPr>
          <w:i/>
          <w:iCs/>
        </w:rPr>
      </w:pPr>
      <w:r w:rsidRPr="003F245C">
        <w:rPr>
          <w:b/>
          <w:bCs/>
          <w:i/>
          <w:iCs/>
          <w:u w:val="single"/>
        </w:rPr>
        <w:t xml:space="preserve">Proposal </w:t>
      </w:r>
      <w:r w:rsidR="002C60D8">
        <w:rPr>
          <w:b/>
          <w:bCs/>
          <w:i/>
          <w:iCs/>
          <w:u w:val="single"/>
        </w:rPr>
        <w:t>4</w:t>
      </w:r>
      <w:r w:rsidRPr="003F245C">
        <w:rPr>
          <w:b/>
          <w:bCs/>
          <w:i/>
          <w:iCs/>
          <w:u w:val="single"/>
        </w:rPr>
        <w:t>:</w:t>
      </w:r>
      <w:r>
        <w:t xml:space="preserve"> </w:t>
      </w:r>
      <w:r>
        <w:rPr>
          <w:i/>
          <w:iCs/>
        </w:rPr>
        <w:t>In the evaluation of the NR NTN coverage performance, the satellite EIRP density is adjusted to satisfy ITU regulation of PFD limitation.</w:t>
      </w:r>
    </w:p>
    <w:p w14:paraId="3456B79D" w14:textId="0807A9E3" w:rsidR="0092449D" w:rsidRDefault="0092449D" w:rsidP="00740B36">
      <w:pPr>
        <w:pStyle w:val="ListParagraph"/>
        <w:numPr>
          <w:ilvl w:val="0"/>
          <w:numId w:val="14"/>
        </w:numPr>
        <w:jc w:val="both"/>
        <w:rPr>
          <w:rFonts w:ascii="Times New Roman" w:hAnsi="Times New Roman"/>
          <w:i/>
          <w:iCs/>
          <w:sz w:val="24"/>
          <w:szCs w:val="24"/>
        </w:rPr>
      </w:pPr>
      <w:r w:rsidRPr="005E47AE">
        <w:rPr>
          <w:rFonts w:ascii="Times New Roman" w:hAnsi="Times New Roman"/>
          <w:i/>
          <w:iCs/>
          <w:sz w:val="24"/>
          <w:szCs w:val="24"/>
        </w:rPr>
        <w:t>With the consideration of ITU regulation of PFD limitation, the satellite EIRP</w:t>
      </w:r>
      <w:r w:rsidR="00801D51">
        <w:rPr>
          <w:rFonts w:ascii="Times New Roman" w:hAnsi="Times New Roman"/>
          <w:i/>
          <w:iCs/>
          <w:sz w:val="24"/>
          <w:szCs w:val="24"/>
        </w:rPr>
        <w:t xml:space="preserve"> density</w:t>
      </w:r>
      <w:r w:rsidRPr="005E47AE">
        <w:rPr>
          <w:rFonts w:ascii="Times New Roman" w:hAnsi="Times New Roman"/>
          <w:i/>
          <w:iCs/>
          <w:sz w:val="24"/>
          <w:szCs w:val="24"/>
        </w:rPr>
        <w:t xml:space="preserve"> is </w:t>
      </w:r>
      <w:r>
        <w:rPr>
          <w:rFonts w:ascii="Times New Roman" w:hAnsi="Times New Roman"/>
          <w:i/>
          <w:iCs/>
          <w:sz w:val="24"/>
          <w:szCs w:val="24"/>
        </w:rPr>
        <w:t>adjusted to 4</w:t>
      </w:r>
      <w:r w:rsidR="00740B36">
        <w:rPr>
          <w:rFonts w:ascii="Times New Roman" w:hAnsi="Times New Roman"/>
          <w:i/>
          <w:iCs/>
          <w:sz w:val="24"/>
          <w:szCs w:val="24"/>
        </w:rPr>
        <w:t>4</w:t>
      </w:r>
      <w:r>
        <w:rPr>
          <w:rFonts w:ascii="Times New Roman" w:hAnsi="Times New Roman"/>
          <w:i/>
          <w:iCs/>
          <w:sz w:val="24"/>
          <w:szCs w:val="24"/>
        </w:rPr>
        <w:t xml:space="preserve"> dBW</w:t>
      </w:r>
      <w:r w:rsidR="00801D51">
        <w:rPr>
          <w:rFonts w:ascii="Times New Roman" w:hAnsi="Times New Roman"/>
          <w:i/>
          <w:iCs/>
          <w:sz w:val="24"/>
          <w:szCs w:val="24"/>
        </w:rPr>
        <w:t>/MHz</w:t>
      </w:r>
      <w:r>
        <w:rPr>
          <w:rFonts w:ascii="Times New Roman" w:hAnsi="Times New Roman"/>
          <w:i/>
          <w:iCs/>
          <w:sz w:val="24"/>
          <w:szCs w:val="24"/>
        </w:rPr>
        <w:t>, 20 dBW</w:t>
      </w:r>
      <w:r w:rsidR="00801D51">
        <w:rPr>
          <w:rFonts w:ascii="Times New Roman" w:hAnsi="Times New Roman"/>
          <w:i/>
          <w:iCs/>
          <w:sz w:val="24"/>
          <w:szCs w:val="24"/>
        </w:rPr>
        <w:t>/MHz</w:t>
      </w:r>
      <w:r>
        <w:rPr>
          <w:rFonts w:ascii="Times New Roman" w:hAnsi="Times New Roman"/>
          <w:i/>
          <w:iCs/>
          <w:sz w:val="24"/>
          <w:szCs w:val="24"/>
        </w:rPr>
        <w:t xml:space="preserve"> and 14 dBW</w:t>
      </w:r>
      <w:r w:rsidR="00801D51">
        <w:rPr>
          <w:rFonts w:ascii="Times New Roman" w:hAnsi="Times New Roman"/>
          <w:i/>
          <w:iCs/>
          <w:sz w:val="24"/>
          <w:szCs w:val="24"/>
        </w:rPr>
        <w:t>/MHz</w:t>
      </w:r>
      <w:r>
        <w:rPr>
          <w:rFonts w:ascii="Times New Roman" w:hAnsi="Times New Roman"/>
          <w:i/>
          <w:iCs/>
          <w:sz w:val="24"/>
          <w:szCs w:val="24"/>
        </w:rPr>
        <w:t xml:space="preserve"> in GEO, LEO-1200, LEO-600, respectively. </w:t>
      </w:r>
    </w:p>
    <w:p w14:paraId="2EB85797" w14:textId="5D6A9234" w:rsidR="0092449D" w:rsidRDefault="0092449D" w:rsidP="000F34DF">
      <w:pPr>
        <w:jc w:val="both"/>
      </w:pPr>
    </w:p>
    <w:p w14:paraId="5C77A9EF" w14:textId="36D56953" w:rsidR="0092449D" w:rsidRDefault="0092449D" w:rsidP="000F34DF">
      <w:pPr>
        <w:jc w:val="both"/>
      </w:pPr>
      <w:r>
        <w:t xml:space="preserve">With the above consideration, we summarize general simulation parameters for FR1 in </w:t>
      </w:r>
      <w:r>
        <w:fldChar w:fldCharType="begin"/>
      </w:r>
      <w:r>
        <w:instrText xml:space="preserve"> REF _Ref100947449 \h </w:instrText>
      </w:r>
      <w:r>
        <w:fldChar w:fldCharType="separate"/>
      </w:r>
      <w:r w:rsidR="00B53188">
        <w:t xml:space="preserve">Table </w:t>
      </w:r>
      <w:r w:rsidR="00B53188">
        <w:rPr>
          <w:noProof/>
        </w:rPr>
        <w:t>2</w:t>
      </w:r>
      <w:r>
        <w:fldChar w:fldCharType="end"/>
      </w:r>
      <w:r>
        <w:t xml:space="preserve">. </w:t>
      </w:r>
    </w:p>
    <w:p w14:paraId="6BA1CF4F" w14:textId="267541A6" w:rsidR="000F34DF" w:rsidRDefault="000F34DF" w:rsidP="000F34DF">
      <w:pPr>
        <w:pStyle w:val="Caption"/>
        <w:keepNext/>
      </w:pPr>
      <w:bookmarkStart w:id="0" w:name="_Ref100946106"/>
      <w:r>
        <w:lastRenderedPageBreak/>
        <w:t xml:space="preserve">Table </w:t>
      </w:r>
      <w:fldSimple w:instr=" SEQ Table \* ARABIC ">
        <w:r w:rsidR="00B53188">
          <w:rPr>
            <w:noProof/>
          </w:rPr>
          <w:t>1</w:t>
        </w:r>
      </w:fldSimple>
      <w:bookmarkEnd w:id="0"/>
      <w:r w:rsidRPr="001F6236">
        <w:t xml:space="preserve">: ITU radio regulations </w:t>
      </w:r>
      <w:r>
        <w:fldChar w:fldCharType="begin"/>
      </w:r>
      <w:r>
        <w:instrText xml:space="preserve"> REF _Ref100945999 \r \h </w:instrText>
      </w:r>
      <w:r>
        <w:fldChar w:fldCharType="separate"/>
      </w:r>
      <w:r w:rsidR="00B53188">
        <w:t>[7]</w:t>
      </w:r>
      <w:r>
        <w:fldChar w:fldCharType="end"/>
      </w:r>
    </w:p>
    <w:p w14:paraId="2AE5918E" w14:textId="655E7D35" w:rsidR="00FE5E15" w:rsidRDefault="000F34DF" w:rsidP="00324FC1">
      <w:r w:rsidRPr="002E57AA">
        <w:rPr>
          <w:noProof/>
        </w:rPr>
        <w:drawing>
          <wp:inline distT="0" distB="0" distL="0" distR="0" wp14:anchorId="49D6B653" wp14:editId="5A3C7CBB">
            <wp:extent cx="5943600" cy="8655050"/>
            <wp:effectExtent l="0" t="0" r="0" b="635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8"/>
                    <a:stretch>
                      <a:fillRect/>
                    </a:stretch>
                  </pic:blipFill>
                  <pic:spPr>
                    <a:xfrm>
                      <a:off x="0" y="0"/>
                      <a:ext cx="5943600" cy="8655050"/>
                    </a:xfrm>
                    <a:prstGeom prst="rect">
                      <a:avLst/>
                    </a:prstGeom>
                  </pic:spPr>
                </pic:pic>
              </a:graphicData>
            </a:graphic>
          </wp:inline>
        </w:drawing>
      </w:r>
    </w:p>
    <w:p w14:paraId="1E913850" w14:textId="5DA8FE8E" w:rsidR="0092449D" w:rsidRDefault="0092449D" w:rsidP="0092449D">
      <w:pPr>
        <w:pStyle w:val="Caption"/>
        <w:keepNext/>
      </w:pPr>
      <w:bookmarkStart w:id="1" w:name="_Ref100947449"/>
      <w:r>
        <w:lastRenderedPageBreak/>
        <w:t xml:space="preserve">Table </w:t>
      </w:r>
      <w:fldSimple w:instr=" SEQ Table \* ARABIC ">
        <w:r w:rsidR="00B53188">
          <w:rPr>
            <w:noProof/>
          </w:rPr>
          <w:t>2</w:t>
        </w:r>
      </w:fldSimple>
      <w:bookmarkEnd w:id="1"/>
      <w:r>
        <w:t>: General simulation parameters</w:t>
      </w:r>
      <w:r>
        <w:rPr>
          <w:noProof/>
        </w:rPr>
        <w:t xml:space="preserve"> for FR1</w:t>
      </w:r>
    </w:p>
    <w:tbl>
      <w:tblPr>
        <w:tblStyle w:val="TableGrid"/>
        <w:tblW w:w="9539" w:type="dxa"/>
        <w:tblLook w:val="04A0" w:firstRow="1" w:lastRow="0" w:firstColumn="1" w:lastColumn="0" w:noHBand="0" w:noVBand="1"/>
      </w:tblPr>
      <w:tblGrid>
        <w:gridCol w:w="3775"/>
        <w:gridCol w:w="5764"/>
      </w:tblGrid>
      <w:tr w:rsidR="0092449D" w14:paraId="14F66480" w14:textId="77777777" w:rsidTr="0092449D">
        <w:tc>
          <w:tcPr>
            <w:tcW w:w="3775" w:type="dxa"/>
            <w:shd w:val="clear" w:color="auto" w:fill="5B9BD5" w:themeFill="accent5"/>
          </w:tcPr>
          <w:p w14:paraId="7FA48AF8" w14:textId="77777777" w:rsidR="0092449D" w:rsidRDefault="0092449D" w:rsidP="00093B44">
            <w:pPr>
              <w:jc w:val="center"/>
            </w:pPr>
            <w:r>
              <w:t>Parameter</w:t>
            </w:r>
          </w:p>
        </w:tc>
        <w:tc>
          <w:tcPr>
            <w:tcW w:w="5764" w:type="dxa"/>
            <w:shd w:val="clear" w:color="auto" w:fill="5B9BD5" w:themeFill="accent5"/>
          </w:tcPr>
          <w:p w14:paraId="66744134" w14:textId="77777777" w:rsidR="0092449D" w:rsidRDefault="0092449D" w:rsidP="00093B44">
            <w:pPr>
              <w:jc w:val="center"/>
            </w:pPr>
            <w:r>
              <w:t>Value</w:t>
            </w:r>
          </w:p>
        </w:tc>
      </w:tr>
      <w:tr w:rsidR="0092449D" w14:paraId="0DC8FA57" w14:textId="77777777" w:rsidTr="0092449D">
        <w:tc>
          <w:tcPr>
            <w:tcW w:w="3775" w:type="dxa"/>
          </w:tcPr>
          <w:p w14:paraId="4B7A3899" w14:textId="77777777" w:rsidR="0092449D" w:rsidRDefault="0092449D" w:rsidP="00093B44">
            <w:r>
              <w:t xml:space="preserve">Scenario </w:t>
            </w:r>
          </w:p>
        </w:tc>
        <w:tc>
          <w:tcPr>
            <w:tcW w:w="5764" w:type="dxa"/>
          </w:tcPr>
          <w:p w14:paraId="2ADA24F8" w14:textId="77777777" w:rsidR="0092449D" w:rsidRDefault="0092449D" w:rsidP="00093B44">
            <w:r>
              <w:t>GEO, LEO-1200, LEO-600</w:t>
            </w:r>
          </w:p>
        </w:tc>
      </w:tr>
      <w:tr w:rsidR="0092449D" w14:paraId="0D0AAB54" w14:textId="77777777" w:rsidTr="0092449D">
        <w:tc>
          <w:tcPr>
            <w:tcW w:w="3775" w:type="dxa"/>
          </w:tcPr>
          <w:p w14:paraId="72389094" w14:textId="77777777" w:rsidR="0092449D" w:rsidRDefault="0092449D" w:rsidP="00093B44">
            <w:r>
              <w:t>Elevation angle</w:t>
            </w:r>
          </w:p>
        </w:tc>
        <w:tc>
          <w:tcPr>
            <w:tcW w:w="5764" w:type="dxa"/>
          </w:tcPr>
          <w:p w14:paraId="7F0F67B6" w14:textId="77777777" w:rsidR="0092449D" w:rsidRDefault="0092449D" w:rsidP="00093B44">
            <w:r>
              <w:t>30 degrees</w:t>
            </w:r>
          </w:p>
        </w:tc>
      </w:tr>
      <w:tr w:rsidR="0092449D" w14:paraId="56EE1C05" w14:textId="77777777" w:rsidTr="0092449D">
        <w:tc>
          <w:tcPr>
            <w:tcW w:w="3775" w:type="dxa"/>
          </w:tcPr>
          <w:p w14:paraId="6D5B72E1" w14:textId="77777777" w:rsidR="0092449D" w:rsidRDefault="0092449D" w:rsidP="00093B44">
            <w:r>
              <w:t>Frequency</w:t>
            </w:r>
          </w:p>
        </w:tc>
        <w:tc>
          <w:tcPr>
            <w:tcW w:w="5764" w:type="dxa"/>
          </w:tcPr>
          <w:p w14:paraId="685318DF" w14:textId="77777777" w:rsidR="0092449D" w:rsidRDefault="0092449D" w:rsidP="00093B44">
            <w:r>
              <w:t>2 GHz</w:t>
            </w:r>
          </w:p>
        </w:tc>
      </w:tr>
      <w:tr w:rsidR="0092449D" w14:paraId="720DD035" w14:textId="77777777" w:rsidTr="0092449D">
        <w:tc>
          <w:tcPr>
            <w:tcW w:w="3775" w:type="dxa"/>
          </w:tcPr>
          <w:p w14:paraId="07B5D312" w14:textId="77777777" w:rsidR="0092449D" w:rsidRDefault="0092449D" w:rsidP="00093B44">
            <w:r>
              <w:t>Target data rates for low-data rate services</w:t>
            </w:r>
          </w:p>
        </w:tc>
        <w:tc>
          <w:tcPr>
            <w:tcW w:w="5764" w:type="dxa"/>
          </w:tcPr>
          <w:p w14:paraId="656F188D" w14:textId="77777777" w:rsidR="0092449D" w:rsidRDefault="0092449D" w:rsidP="00093B44">
            <w:r>
              <w:t>DL: 100 kbps; UL: 50 kbps</w:t>
            </w:r>
          </w:p>
        </w:tc>
      </w:tr>
      <w:tr w:rsidR="0092449D" w14:paraId="1D7EF9A9" w14:textId="77777777" w:rsidTr="0092449D">
        <w:tc>
          <w:tcPr>
            <w:tcW w:w="3775" w:type="dxa"/>
          </w:tcPr>
          <w:p w14:paraId="16F96C2E" w14:textId="77777777" w:rsidR="0092449D" w:rsidRDefault="0092449D" w:rsidP="00093B44">
            <w:r>
              <w:t>Target data rates for VoIP</w:t>
            </w:r>
          </w:p>
        </w:tc>
        <w:tc>
          <w:tcPr>
            <w:tcW w:w="5764" w:type="dxa"/>
          </w:tcPr>
          <w:p w14:paraId="79B7DBFA" w14:textId="77777777" w:rsidR="0092449D" w:rsidRDefault="0092449D" w:rsidP="00093B44">
            <w:r>
              <w:t>Packet size of 320 bits with 20 ms data arriving interval</w:t>
            </w:r>
          </w:p>
        </w:tc>
      </w:tr>
      <w:tr w:rsidR="0092449D" w14:paraId="21AC2C0B" w14:textId="77777777" w:rsidTr="0092449D">
        <w:tc>
          <w:tcPr>
            <w:tcW w:w="3775" w:type="dxa"/>
          </w:tcPr>
          <w:p w14:paraId="2B3C9B57" w14:textId="77777777" w:rsidR="0092449D" w:rsidRDefault="0092449D" w:rsidP="00093B44">
            <w:r>
              <w:t>Latency requirements for VoIP</w:t>
            </w:r>
          </w:p>
        </w:tc>
        <w:tc>
          <w:tcPr>
            <w:tcW w:w="5764" w:type="dxa"/>
          </w:tcPr>
          <w:p w14:paraId="4F20355E" w14:textId="77777777" w:rsidR="0092449D" w:rsidRDefault="0092449D" w:rsidP="00093B44">
            <w:r>
              <w:t>Reported by companies</w:t>
            </w:r>
          </w:p>
        </w:tc>
      </w:tr>
      <w:tr w:rsidR="0092449D" w14:paraId="67AA2B28" w14:textId="77777777" w:rsidTr="0092449D">
        <w:tc>
          <w:tcPr>
            <w:tcW w:w="3775" w:type="dxa"/>
          </w:tcPr>
          <w:p w14:paraId="6522741E" w14:textId="77777777" w:rsidR="0092449D" w:rsidRDefault="0092449D" w:rsidP="00093B44">
            <w:r>
              <w:t xml:space="preserve">Pathloss model </w:t>
            </w:r>
          </w:p>
        </w:tc>
        <w:tc>
          <w:tcPr>
            <w:tcW w:w="5764" w:type="dxa"/>
          </w:tcPr>
          <w:p w14:paraId="75CD7FBB" w14:textId="77777777" w:rsidR="0092449D" w:rsidRDefault="0092449D" w:rsidP="00093B44">
            <w:r>
              <w:t xml:space="preserve">LOS </w:t>
            </w:r>
          </w:p>
        </w:tc>
      </w:tr>
      <w:tr w:rsidR="0092449D" w14:paraId="0E15AA8B" w14:textId="77777777" w:rsidTr="0092449D">
        <w:tc>
          <w:tcPr>
            <w:tcW w:w="3775" w:type="dxa"/>
          </w:tcPr>
          <w:p w14:paraId="0646920C" w14:textId="77777777" w:rsidR="0092449D" w:rsidRDefault="0092449D" w:rsidP="00093B44">
            <w:r>
              <w:t>BWP</w:t>
            </w:r>
          </w:p>
        </w:tc>
        <w:tc>
          <w:tcPr>
            <w:tcW w:w="5764" w:type="dxa"/>
          </w:tcPr>
          <w:p w14:paraId="5C5D9B24" w14:textId="77777777" w:rsidR="0092449D" w:rsidRDefault="0092449D" w:rsidP="00093B44">
            <w:r>
              <w:t>20 MHz</w:t>
            </w:r>
          </w:p>
        </w:tc>
      </w:tr>
      <w:tr w:rsidR="0092449D" w14:paraId="5C0946B8" w14:textId="77777777" w:rsidTr="0092449D">
        <w:tc>
          <w:tcPr>
            <w:tcW w:w="3775" w:type="dxa"/>
          </w:tcPr>
          <w:p w14:paraId="703C50A3" w14:textId="77777777" w:rsidR="0092449D" w:rsidRDefault="0092449D" w:rsidP="00093B44">
            <w:r>
              <w:t>Channel model for link-level simulation</w:t>
            </w:r>
          </w:p>
        </w:tc>
        <w:tc>
          <w:tcPr>
            <w:tcW w:w="5764" w:type="dxa"/>
          </w:tcPr>
          <w:p w14:paraId="54EE7B9E" w14:textId="77777777" w:rsidR="0092449D" w:rsidRDefault="0092449D" w:rsidP="00093B44">
            <w:r>
              <w:t xml:space="preserve">NTN-TDL-C </w:t>
            </w:r>
          </w:p>
        </w:tc>
      </w:tr>
      <w:tr w:rsidR="0092449D" w14:paraId="3A96DF7A" w14:textId="77777777" w:rsidTr="0092449D">
        <w:tc>
          <w:tcPr>
            <w:tcW w:w="3775" w:type="dxa"/>
          </w:tcPr>
          <w:p w14:paraId="6AEAF761" w14:textId="77777777" w:rsidR="0092449D" w:rsidRDefault="0092449D" w:rsidP="00093B44">
            <w:r>
              <w:t>Delay spread</w:t>
            </w:r>
          </w:p>
        </w:tc>
        <w:tc>
          <w:tcPr>
            <w:tcW w:w="5764" w:type="dxa"/>
          </w:tcPr>
          <w:p w14:paraId="53212BB7" w14:textId="77777777" w:rsidR="0092449D" w:rsidRDefault="0092449D" w:rsidP="00093B44">
            <w:r>
              <w:t>100 ns</w:t>
            </w:r>
          </w:p>
        </w:tc>
      </w:tr>
      <w:tr w:rsidR="0092449D" w14:paraId="379D5663" w14:textId="77777777" w:rsidTr="0092449D">
        <w:tc>
          <w:tcPr>
            <w:tcW w:w="3775" w:type="dxa"/>
          </w:tcPr>
          <w:p w14:paraId="4908168C" w14:textId="77777777" w:rsidR="0092449D" w:rsidRDefault="0092449D" w:rsidP="00093B44">
            <w:r>
              <w:t>UE velocity</w:t>
            </w:r>
          </w:p>
        </w:tc>
        <w:tc>
          <w:tcPr>
            <w:tcW w:w="5764" w:type="dxa"/>
          </w:tcPr>
          <w:p w14:paraId="5655E0C9" w14:textId="77777777" w:rsidR="0092449D" w:rsidRDefault="0092449D" w:rsidP="00093B44">
            <w:r>
              <w:t>3 km/h or 120 km/h</w:t>
            </w:r>
          </w:p>
        </w:tc>
      </w:tr>
      <w:tr w:rsidR="0092449D" w14:paraId="254E9B22" w14:textId="77777777" w:rsidTr="0092449D">
        <w:tc>
          <w:tcPr>
            <w:tcW w:w="3775" w:type="dxa"/>
          </w:tcPr>
          <w:p w14:paraId="2A07E5DD" w14:textId="77777777" w:rsidR="0092449D" w:rsidRDefault="0092449D" w:rsidP="00093B44">
            <w:r>
              <w:t>Satellite EIRP density</w:t>
            </w:r>
          </w:p>
        </w:tc>
        <w:tc>
          <w:tcPr>
            <w:tcW w:w="5764" w:type="dxa"/>
          </w:tcPr>
          <w:p w14:paraId="0C0A1738" w14:textId="77777777" w:rsidR="0092449D" w:rsidRDefault="0092449D" w:rsidP="00093B44">
            <w:r>
              <w:t>Set 1: GEO: 59, LEO-1200: 40, LEO-600: 34 dBW/MHz</w:t>
            </w:r>
          </w:p>
          <w:p w14:paraId="7A298134" w14:textId="77777777" w:rsidR="0092449D" w:rsidRDefault="0092449D" w:rsidP="00093B44">
            <w:r>
              <w:t xml:space="preserve">Set 2: GEO: 53.5, LEO-1200: 34, LEO-600: 28  </w:t>
            </w:r>
          </w:p>
        </w:tc>
      </w:tr>
      <w:tr w:rsidR="0092449D" w14:paraId="161447DD" w14:textId="77777777" w:rsidTr="0092449D">
        <w:tc>
          <w:tcPr>
            <w:tcW w:w="3775" w:type="dxa"/>
          </w:tcPr>
          <w:p w14:paraId="53A228EA" w14:textId="256CFE82" w:rsidR="0092449D" w:rsidRPr="005E47AE" w:rsidRDefault="0092449D" w:rsidP="00093B44">
            <w:pPr>
              <w:rPr>
                <w:highlight w:val="cyan"/>
              </w:rPr>
            </w:pPr>
            <w:r w:rsidRPr="00CF2914">
              <w:t xml:space="preserve">Satellite EIRP </w:t>
            </w:r>
            <w:r w:rsidR="00170235">
              <w:t xml:space="preserve">density </w:t>
            </w:r>
            <w:r w:rsidRPr="00CF2914">
              <w:t xml:space="preserve">adjusted for PFD limitation </w:t>
            </w:r>
          </w:p>
        </w:tc>
        <w:tc>
          <w:tcPr>
            <w:tcW w:w="5764" w:type="dxa"/>
          </w:tcPr>
          <w:p w14:paraId="0F087061" w14:textId="3A26C759" w:rsidR="0092449D" w:rsidRPr="00CF2914" w:rsidRDefault="0092449D" w:rsidP="00093B44">
            <w:r w:rsidRPr="00CF2914">
              <w:t xml:space="preserve">GEO: </w:t>
            </w:r>
            <w:r>
              <w:t>4</w:t>
            </w:r>
            <w:r w:rsidR="00740B36">
              <w:t>4</w:t>
            </w:r>
            <w:r w:rsidRPr="00CF2914">
              <w:t xml:space="preserve">, LEO-1200: </w:t>
            </w:r>
            <w:r>
              <w:t>2</w:t>
            </w:r>
            <w:r w:rsidRPr="00CF2914">
              <w:t>0, LEO-600: 14 dBW</w:t>
            </w:r>
            <w:r w:rsidR="002241A6">
              <w:t>/MHz</w:t>
            </w:r>
          </w:p>
          <w:p w14:paraId="51CBE4C5" w14:textId="77777777" w:rsidR="0092449D" w:rsidRPr="005E47AE" w:rsidRDefault="0092449D" w:rsidP="00093B44">
            <w:pPr>
              <w:rPr>
                <w:highlight w:val="cyan"/>
              </w:rPr>
            </w:pPr>
          </w:p>
        </w:tc>
      </w:tr>
      <w:tr w:rsidR="0092449D" w14:paraId="3A06CA57" w14:textId="77777777" w:rsidTr="0092449D">
        <w:tc>
          <w:tcPr>
            <w:tcW w:w="3775" w:type="dxa"/>
          </w:tcPr>
          <w:p w14:paraId="2315AB26" w14:textId="77777777" w:rsidR="0092449D" w:rsidRDefault="0092449D" w:rsidP="00093B44">
            <w:r>
              <w:t>G/T</w:t>
            </w:r>
          </w:p>
        </w:tc>
        <w:tc>
          <w:tcPr>
            <w:tcW w:w="5764" w:type="dxa"/>
          </w:tcPr>
          <w:p w14:paraId="11539DAF" w14:textId="77777777" w:rsidR="0092449D" w:rsidRDefault="0092449D" w:rsidP="00093B44">
            <w:r>
              <w:t xml:space="preserve">Set 1: GEO: 19, LEO-1200: 1.1, LEO-600: 1.1 dB </w:t>
            </w:r>
            <m:oMath>
              <m:sSup>
                <m:sSupPr>
                  <m:ctrlPr>
                    <w:rPr>
                      <w:rFonts w:ascii="Cambria Math" w:hAnsi="Cambria Math"/>
                      <w:i/>
                    </w:rPr>
                  </m:ctrlPr>
                </m:sSupPr>
                <m:e>
                  <m:r>
                    <w:rPr>
                      <w:rFonts w:ascii="Cambria Math" w:hAnsi="Cambria Math"/>
                    </w:rPr>
                    <m:t>K</m:t>
                  </m:r>
                </m:e>
                <m:sup>
                  <m:r>
                    <w:rPr>
                      <w:rFonts w:ascii="Cambria Math" w:hAnsi="Cambria Math"/>
                    </w:rPr>
                    <m:t>-1</m:t>
                  </m:r>
                </m:sup>
              </m:sSup>
            </m:oMath>
          </w:p>
          <w:p w14:paraId="4FD503FC" w14:textId="77777777" w:rsidR="0092449D" w:rsidRDefault="0092449D" w:rsidP="00093B44">
            <w:r>
              <w:t xml:space="preserve">Set 2: GEO: 14, LEO-1200: -4.9, LEO-600: -4.9 dB </w:t>
            </w:r>
            <m:oMath>
              <m:sSup>
                <m:sSupPr>
                  <m:ctrlPr>
                    <w:rPr>
                      <w:rFonts w:ascii="Cambria Math" w:hAnsi="Cambria Math"/>
                      <w:i/>
                    </w:rPr>
                  </m:ctrlPr>
                </m:sSupPr>
                <m:e>
                  <m:r>
                    <w:rPr>
                      <w:rFonts w:ascii="Cambria Math" w:hAnsi="Cambria Math"/>
                    </w:rPr>
                    <m:t>K</m:t>
                  </m:r>
                </m:e>
                <m:sup>
                  <m:r>
                    <w:rPr>
                      <w:rFonts w:ascii="Cambria Math" w:hAnsi="Cambria Math"/>
                    </w:rPr>
                    <m:t>-1</m:t>
                  </m:r>
                </m:sup>
              </m:sSup>
            </m:oMath>
          </w:p>
        </w:tc>
      </w:tr>
      <w:tr w:rsidR="0092449D" w14:paraId="6489CE15" w14:textId="5BF8D9C0" w:rsidTr="0092449D">
        <w:tc>
          <w:tcPr>
            <w:tcW w:w="3775" w:type="dxa"/>
          </w:tcPr>
          <w:p w14:paraId="71D4D469" w14:textId="02389585" w:rsidR="0092449D" w:rsidRDefault="0092449D" w:rsidP="0092449D">
            <w:r w:rsidRPr="00D8467C">
              <w:rPr>
                <w:iCs/>
              </w:rPr>
              <w:t>Shadow</w:t>
            </w:r>
            <w:r>
              <w:rPr>
                <w:iCs/>
              </w:rPr>
              <w:t>ing</w:t>
            </w:r>
          </w:p>
        </w:tc>
        <w:tc>
          <w:tcPr>
            <w:tcW w:w="5764" w:type="dxa"/>
          </w:tcPr>
          <w:p w14:paraId="0CE5BCD4" w14:textId="58B60F20" w:rsidR="0092449D" w:rsidRDefault="0092449D" w:rsidP="0092449D">
            <w:r>
              <w:rPr>
                <w:iCs/>
              </w:rPr>
              <w:t>3 dB</w:t>
            </w:r>
          </w:p>
        </w:tc>
      </w:tr>
      <w:tr w:rsidR="0092449D" w14:paraId="7911D886" w14:textId="77777777" w:rsidTr="0092449D">
        <w:tc>
          <w:tcPr>
            <w:tcW w:w="3775" w:type="dxa"/>
          </w:tcPr>
          <w:p w14:paraId="739860CB" w14:textId="3F65F714" w:rsidR="0092449D" w:rsidRPr="00D8467C" w:rsidRDefault="0092449D" w:rsidP="0092449D">
            <w:pPr>
              <w:rPr>
                <w:iCs/>
              </w:rPr>
            </w:pPr>
            <w:r w:rsidRPr="00577848">
              <w:rPr>
                <w:iCs/>
                <w:color w:val="000000"/>
              </w:rPr>
              <w:t xml:space="preserve">Atmospheric path loss </w:t>
            </w:r>
          </w:p>
        </w:tc>
        <w:tc>
          <w:tcPr>
            <w:tcW w:w="5764" w:type="dxa"/>
          </w:tcPr>
          <w:p w14:paraId="37C6364C" w14:textId="66F6761A" w:rsidR="0092449D" w:rsidRDefault="0092449D" w:rsidP="0092449D">
            <w:pPr>
              <w:rPr>
                <w:iCs/>
              </w:rPr>
            </w:pPr>
            <w:r>
              <w:rPr>
                <w:iCs/>
                <w:color w:val="000000"/>
              </w:rPr>
              <w:t xml:space="preserve">GEO: </w:t>
            </w:r>
            <w:r w:rsidRPr="00577848">
              <w:rPr>
                <w:iCs/>
                <w:color w:val="000000"/>
              </w:rPr>
              <w:t>0.2</w:t>
            </w:r>
            <w:r>
              <w:rPr>
                <w:iCs/>
                <w:color w:val="000000"/>
              </w:rPr>
              <w:t xml:space="preserve"> dB, LEO-1200: 0.1 dB</w:t>
            </w:r>
            <w:r w:rsidR="00A9231D">
              <w:rPr>
                <w:iCs/>
                <w:color w:val="000000"/>
              </w:rPr>
              <w:t>, LEO-600: 0.1 dB</w:t>
            </w:r>
          </w:p>
        </w:tc>
      </w:tr>
      <w:tr w:rsidR="0092449D" w14:paraId="65DBC2E2" w14:textId="77777777" w:rsidTr="0092449D">
        <w:tc>
          <w:tcPr>
            <w:tcW w:w="3775" w:type="dxa"/>
          </w:tcPr>
          <w:p w14:paraId="432C2AD8" w14:textId="12EA0EDC" w:rsidR="0092449D" w:rsidRPr="00577848" w:rsidRDefault="0092449D" w:rsidP="0092449D">
            <w:pPr>
              <w:rPr>
                <w:iCs/>
                <w:color w:val="000000"/>
              </w:rPr>
            </w:pPr>
            <w:r w:rsidRPr="00577848">
              <w:rPr>
                <w:color w:val="000000"/>
              </w:rPr>
              <w:t xml:space="preserve">Scintillation loss </w:t>
            </w:r>
          </w:p>
        </w:tc>
        <w:tc>
          <w:tcPr>
            <w:tcW w:w="5764" w:type="dxa"/>
          </w:tcPr>
          <w:p w14:paraId="107478BD" w14:textId="694E6FE1" w:rsidR="0092449D" w:rsidRPr="00577848" w:rsidRDefault="0092449D" w:rsidP="0092449D">
            <w:pPr>
              <w:rPr>
                <w:iCs/>
                <w:color w:val="000000"/>
              </w:rPr>
            </w:pPr>
            <w:r w:rsidRPr="00577848">
              <w:rPr>
                <w:iCs/>
                <w:color w:val="000000"/>
              </w:rPr>
              <w:t>2.2</w:t>
            </w:r>
            <w:r>
              <w:rPr>
                <w:iCs/>
                <w:color w:val="000000"/>
              </w:rPr>
              <w:t xml:space="preserve"> dB</w:t>
            </w:r>
          </w:p>
        </w:tc>
      </w:tr>
      <w:tr w:rsidR="0092449D" w14:paraId="1DADD385" w14:textId="77777777" w:rsidTr="0092449D">
        <w:tc>
          <w:tcPr>
            <w:tcW w:w="3775" w:type="dxa"/>
          </w:tcPr>
          <w:p w14:paraId="09690AC5" w14:textId="1DF6ACF0" w:rsidR="0092449D" w:rsidRPr="00577848" w:rsidRDefault="0092449D" w:rsidP="0092449D">
            <w:pPr>
              <w:rPr>
                <w:color w:val="000000"/>
              </w:rPr>
            </w:pPr>
            <w:r w:rsidRPr="00577848">
              <w:rPr>
                <w:iCs/>
                <w:color w:val="000000"/>
              </w:rPr>
              <w:t xml:space="preserve">Polarization loss </w:t>
            </w:r>
          </w:p>
        </w:tc>
        <w:tc>
          <w:tcPr>
            <w:tcW w:w="5764" w:type="dxa"/>
          </w:tcPr>
          <w:p w14:paraId="1DCED859" w14:textId="53E4CC74" w:rsidR="0092449D" w:rsidRPr="00577848" w:rsidRDefault="0092449D" w:rsidP="0092449D">
            <w:pPr>
              <w:rPr>
                <w:iCs/>
                <w:color w:val="000000"/>
              </w:rPr>
            </w:pPr>
            <w:r w:rsidRPr="00577848">
              <w:rPr>
                <w:iCs/>
                <w:color w:val="000000"/>
              </w:rPr>
              <w:t>3</w:t>
            </w:r>
            <w:r>
              <w:rPr>
                <w:iCs/>
                <w:color w:val="000000"/>
              </w:rPr>
              <w:t xml:space="preserve"> dB</w:t>
            </w:r>
          </w:p>
        </w:tc>
      </w:tr>
    </w:tbl>
    <w:p w14:paraId="6C587D45" w14:textId="77777777" w:rsidR="00D67A1E" w:rsidRDefault="00D67A1E" w:rsidP="00D67A1E">
      <w:pPr>
        <w:pStyle w:val="ListParagraph"/>
        <w:rPr>
          <w:rFonts w:ascii="Times New Roman" w:hAnsi="Times New Roman"/>
          <w:i/>
          <w:iCs/>
          <w:sz w:val="24"/>
          <w:szCs w:val="24"/>
        </w:rPr>
      </w:pPr>
    </w:p>
    <w:p w14:paraId="62314B16" w14:textId="3C45B68A" w:rsidR="00EE5E53" w:rsidRDefault="00270F16" w:rsidP="00324FC1">
      <w:pPr>
        <w:pStyle w:val="Heading2"/>
      </w:pPr>
      <w:r>
        <w:t>Performance metric</w:t>
      </w:r>
    </w:p>
    <w:p w14:paraId="753FB9A1" w14:textId="0F9CFD8E" w:rsidR="00EE5E53" w:rsidRDefault="00EE5E53" w:rsidP="00740B36">
      <w:pPr>
        <w:jc w:val="both"/>
      </w:pPr>
      <w:r>
        <w:t xml:space="preserve">In the study of Release 17 NR coverage enhancement, three different metrics are used to identify the bottleneck physical layer channels: MCL (maximum coupling loss), MIL (maximum isotropic loss), MPL (maximum path loss). </w:t>
      </w:r>
      <w:r w:rsidR="008D1BE9">
        <w:t xml:space="preserve">Since MCL only includes part of the gNB antenna gain (i.e., the number of TxRU over the number of RF chains), it does not fit with satellite EIRP density. On the other hand, the MPL includes pathloss and </w:t>
      </w:r>
      <w:r w:rsidR="0013632C">
        <w:t xml:space="preserve">base station selection gain. This is unnecessary for NR NTN. Hence, we think only MIL is used to identify the bottleneck physical layer channel. </w:t>
      </w:r>
    </w:p>
    <w:p w14:paraId="3F0FEB2B" w14:textId="77777777" w:rsidR="00EE5E53" w:rsidRDefault="00EE5E53" w:rsidP="00740B36">
      <w:pPr>
        <w:jc w:val="both"/>
      </w:pPr>
    </w:p>
    <w:p w14:paraId="2F710886" w14:textId="0BE822E2" w:rsidR="00EE5E53" w:rsidRDefault="00EE5E53" w:rsidP="00740B36">
      <w:pPr>
        <w:jc w:val="both"/>
      </w:pPr>
      <w:r w:rsidRPr="003F245C">
        <w:rPr>
          <w:b/>
          <w:bCs/>
          <w:i/>
          <w:iCs/>
          <w:u w:val="single"/>
        </w:rPr>
        <w:t xml:space="preserve">Proposal </w:t>
      </w:r>
      <w:r w:rsidR="002C60D8">
        <w:rPr>
          <w:b/>
          <w:bCs/>
          <w:i/>
          <w:iCs/>
          <w:u w:val="single"/>
        </w:rPr>
        <w:t>5</w:t>
      </w:r>
      <w:r w:rsidRPr="003F245C">
        <w:rPr>
          <w:b/>
          <w:bCs/>
          <w:i/>
          <w:iCs/>
          <w:u w:val="single"/>
        </w:rPr>
        <w:t>:</w:t>
      </w:r>
      <w:r>
        <w:t xml:space="preserve"> </w:t>
      </w:r>
      <w:r>
        <w:rPr>
          <w:i/>
          <w:iCs/>
        </w:rPr>
        <w:t>In the evaluation of NR NTN coverage performance, the MIL is used to identify the bottleneck physical layer channel.</w:t>
      </w:r>
    </w:p>
    <w:p w14:paraId="3AC21661" w14:textId="5978B255" w:rsidR="00324FC1" w:rsidRDefault="00324FC1" w:rsidP="0057029E"/>
    <w:p w14:paraId="7E1A7807" w14:textId="20B53E36" w:rsidR="00270F16" w:rsidRDefault="00270F16" w:rsidP="00270F16">
      <w:pPr>
        <w:pStyle w:val="Heading2"/>
      </w:pPr>
      <w:r>
        <w:t xml:space="preserve">Evaluation channels </w:t>
      </w:r>
    </w:p>
    <w:p w14:paraId="049A9076" w14:textId="4DB44DB8" w:rsidR="00730091" w:rsidRDefault="00730091" w:rsidP="00730091">
      <w:pPr>
        <w:jc w:val="both"/>
      </w:pPr>
      <w:r>
        <w:t xml:space="preserve">In Release 17 study of NR coverage enhancement, downlink channels show good coverage performance. Hence, the work item of Release 17 NR coverage enhancement focuses only on uplink channels, i.e., PUSCH, PUCCH and Msg 3 PUSCH. However, in the context of NTN, with the consideration of ITU limitation on PFD, the downlink channels may need to be examined. Hence, we propose to examine the </w:t>
      </w:r>
      <w:r w:rsidR="0028255B">
        <w:t xml:space="preserve">downlink </w:t>
      </w:r>
      <w:r>
        <w:t xml:space="preserve">physical channels </w:t>
      </w:r>
      <w:r w:rsidR="0028255B">
        <w:t>like</w:t>
      </w:r>
      <w:r>
        <w:t xml:space="preserve"> PDCCH and PDSCH.</w:t>
      </w:r>
    </w:p>
    <w:p w14:paraId="57015846" w14:textId="69A46093" w:rsidR="00730091" w:rsidRDefault="00730091" w:rsidP="00730091">
      <w:pPr>
        <w:jc w:val="both"/>
      </w:pPr>
    </w:p>
    <w:p w14:paraId="6219DDDD" w14:textId="7CBA84FC" w:rsidR="00730091" w:rsidRDefault="00730091" w:rsidP="00730091">
      <w:pPr>
        <w:jc w:val="both"/>
      </w:pPr>
      <w:r>
        <w:lastRenderedPageBreak/>
        <w:t>Also, the message transmission in RACH procedure involves the wide</w:t>
      </w:r>
      <w:r w:rsidR="0028255B">
        <w:t>r</w:t>
      </w:r>
      <w:r>
        <w:t xml:space="preserve"> beam, which may suffer from the power degradation. Hence, Msg 2 PDSCH, Msg 3 PUSCH, Msg 4 PDSCH and HARQ-ACK for Msg 4 need to be examined for coverage</w:t>
      </w:r>
      <w:r w:rsidR="0028255B">
        <w:t xml:space="preserve">. </w:t>
      </w:r>
      <w:r>
        <w:t xml:space="preserve"> </w:t>
      </w:r>
    </w:p>
    <w:p w14:paraId="3179FEA8" w14:textId="77777777" w:rsidR="00730091" w:rsidRDefault="00730091" w:rsidP="00270F16"/>
    <w:p w14:paraId="14C305C4" w14:textId="7BA2ED70" w:rsidR="00DF3049" w:rsidRDefault="00DF3049" w:rsidP="00DF3049">
      <w:pPr>
        <w:jc w:val="both"/>
        <w:rPr>
          <w:i/>
          <w:iCs/>
        </w:rPr>
      </w:pPr>
      <w:r w:rsidRPr="003F245C">
        <w:rPr>
          <w:b/>
          <w:bCs/>
          <w:i/>
          <w:iCs/>
          <w:u w:val="single"/>
        </w:rPr>
        <w:t xml:space="preserve">Proposal </w:t>
      </w:r>
      <w:r w:rsidR="002C60D8">
        <w:rPr>
          <w:b/>
          <w:bCs/>
          <w:i/>
          <w:iCs/>
          <w:u w:val="single"/>
        </w:rPr>
        <w:t>6</w:t>
      </w:r>
      <w:r w:rsidRPr="003F245C">
        <w:rPr>
          <w:b/>
          <w:bCs/>
          <w:i/>
          <w:iCs/>
          <w:u w:val="single"/>
        </w:rPr>
        <w:t>:</w:t>
      </w:r>
      <w:r>
        <w:t xml:space="preserve"> </w:t>
      </w:r>
      <w:r>
        <w:rPr>
          <w:i/>
          <w:iCs/>
        </w:rPr>
        <w:t>The evaluation of the NR NTN coverage performance at least examines the physical channels of PDCCH, PDSCH, Msg 2 PDSCH, Msg 3 PUSCH, Msg 4 PDS</w:t>
      </w:r>
      <w:r w:rsidRPr="00DF3049">
        <w:rPr>
          <w:i/>
          <w:iCs/>
        </w:rPr>
        <w:t>CH and Msg 4 HARQ-ACK.</w:t>
      </w:r>
    </w:p>
    <w:p w14:paraId="055A49F0" w14:textId="3AD274B1" w:rsidR="00730091" w:rsidRDefault="00730091" w:rsidP="00270F16">
      <w:pPr>
        <w:jc w:val="both"/>
      </w:pPr>
    </w:p>
    <w:p w14:paraId="36D376F4" w14:textId="6DA466D9" w:rsidR="0028255B" w:rsidRDefault="0028255B" w:rsidP="00270F16">
      <w:pPr>
        <w:jc w:val="both"/>
      </w:pPr>
      <w:r>
        <w:t xml:space="preserve">The simulation assumptions for FR1 for each physical channel are defined in </w:t>
      </w:r>
      <w:r>
        <w:fldChar w:fldCharType="begin"/>
      </w:r>
      <w:r>
        <w:instrText xml:space="preserve"> REF _Ref100217924 \r \h </w:instrText>
      </w:r>
      <w:r>
        <w:fldChar w:fldCharType="separate"/>
      </w:r>
      <w:r w:rsidR="00B53188">
        <w:t>[3]</w:t>
      </w:r>
      <w:r>
        <w:fldChar w:fldCharType="end"/>
      </w:r>
      <w:r w:rsidR="00666BFB">
        <w:t>. Specifically, Tables A.1-2 – A.1-8 define the simulation assumptions of physical channels of PUSCH, PUCCH, PRACH, Msg.3 PUSCH, PDSCH, PDCCH, SSB, respectively. Most of the channel-specific</w:t>
      </w:r>
      <w:r w:rsidR="00740B36">
        <w:t xml:space="preserve"> parameters could be re-used.</w:t>
      </w:r>
    </w:p>
    <w:p w14:paraId="04E91463" w14:textId="77777777" w:rsidR="0028255B" w:rsidRDefault="0028255B" w:rsidP="00740B36">
      <w:pPr>
        <w:jc w:val="both"/>
      </w:pPr>
    </w:p>
    <w:p w14:paraId="363FA42C" w14:textId="0C6B1E0C" w:rsidR="0057029E" w:rsidRDefault="0028255B" w:rsidP="00740B36">
      <w:pPr>
        <w:jc w:val="both"/>
      </w:pPr>
      <w:r w:rsidRPr="003F245C">
        <w:rPr>
          <w:b/>
          <w:bCs/>
          <w:i/>
          <w:iCs/>
          <w:u w:val="single"/>
        </w:rPr>
        <w:t xml:space="preserve">Proposal </w:t>
      </w:r>
      <w:r w:rsidR="002C60D8">
        <w:rPr>
          <w:b/>
          <w:bCs/>
          <w:i/>
          <w:iCs/>
          <w:u w:val="single"/>
        </w:rPr>
        <w:t>7</w:t>
      </w:r>
      <w:r w:rsidRPr="003F245C">
        <w:rPr>
          <w:b/>
          <w:bCs/>
          <w:i/>
          <w:iCs/>
          <w:u w:val="single"/>
        </w:rPr>
        <w:t>:</w:t>
      </w:r>
      <w:r>
        <w:t xml:space="preserve"> </w:t>
      </w:r>
      <w:r>
        <w:rPr>
          <w:i/>
          <w:iCs/>
        </w:rPr>
        <w:t xml:space="preserve">For the evaluation </w:t>
      </w:r>
      <w:r w:rsidR="00666BFB">
        <w:rPr>
          <w:i/>
          <w:iCs/>
        </w:rPr>
        <w:t>assumption for each</w:t>
      </w:r>
      <w:r>
        <w:rPr>
          <w:i/>
          <w:iCs/>
        </w:rPr>
        <w:t xml:space="preserve"> physical channe</w:t>
      </w:r>
      <w:r w:rsidR="00666BFB">
        <w:rPr>
          <w:i/>
          <w:iCs/>
        </w:rPr>
        <w:t>l</w:t>
      </w:r>
      <w:r>
        <w:rPr>
          <w:i/>
          <w:iCs/>
        </w:rPr>
        <w:t xml:space="preserve">, reuse Tables A.1-2 - A.1-8 in </w:t>
      </w:r>
      <w:r w:rsidR="00740B36">
        <w:rPr>
          <w:i/>
          <w:iCs/>
        </w:rPr>
        <w:t>TR 38.830</w:t>
      </w:r>
      <w:r>
        <w:rPr>
          <w:i/>
          <w:iCs/>
        </w:rPr>
        <w:t xml:space="preserve"> as much as possible.</w:t>
      </w:r>
    </w:p>
    <w:p w14:paraId="4989D89D" w14:textId="45D463E4" w:rsidR="00BD0084" w:rsidRDefault="00BD0084" w:rsidP="000F334F">
      <w:pPr>
        <w:jc w:val="both"/>
        <w:rPr>
          <w:iCs/>
        </w:rPr>
      </w:pPr>
    </w:p>
    <w:p w14:paraId="2896E657" w14:textId="2DF29AD0" w:rsidR="00854A60" w:rsidRPr="00A6576F" w:rsidRDefault="009C5A97" w:rsidP="00FB330B">
      <w:pPr>
        <w:pStyle w:val="Heading1"/>
      </w:pPr>
      <w:r w:rsidRPr="00A6576F">
        <w:t>Conclusion</w:t>
      </w:r>
    </w:p>
    <w:p w14:paraId="7973EDF6" w14:textId="56913DC8" w:rsidR="0064641E" w:rsidRDefault="00A04318" w:rsidP="00BB4346">
      <w:pPr>
        <w:jc w:val="both"/>
      </w:pPr>
      <w:r>
        <w:t xml:space="preserve">In this contribution, </w:t>
      </w:r>
      <w:r w:rsidR="00F2767C">
        <w:t xml:space="preserve">we provided our views on </w:t>
      </w:r>
      <w:r w:rsidR="0057029E">
        <w:t>coverage enhancement for NR</w:t>
      </w:r>
      <w:r w:rsidR="00E76D00">
        <w:t xml:space="preserve"> NTN</w:t>
      </w:r>
      <w:r w:rsidR="00F2767C">
        <w:t xml:space="preserve">. </w:t>
      </w:r>
      <w:r>
        <w:t>Our</w:t>
      </w:r>
      <w:r w:rsidR="000D011A">
        <w:t xml:space="preserve"> </w:t>
      </w:r>
      <w:r>
        <w:t>proposals are as follows:</w:t>
      </w:r>
    </w:p>
    <w:p w14:paraId="728AE2B8" w14:textId="77777777" w:rsidR="00A9231D" w:rsidRDefault="00A9231D" w:rsidP="00A9231D">
      <w:pPr>
        <w:jc w:val="both"/>
        <w:rPr>
          <w:b/>
          <w:bCs/>
          <w:i/>
          <w:iCs/>
          <w:u w:val="single"/>
        </w:rPr>
      </w:pPr>
    </w:p>
    <w:p w14:paraId="4731F72E" w14:textId="62E47C8C" w:rsidR="00A9231D" w:rsidRDefault="00A9231D" w:rsidP="00740B36">
      <w:pPr>
        <w:jc w:val="both"/>
      </w:pPr>
      <w:r w:rsidRPr="003F245C">
        <w:rPr>
          <w:b/>
          <w:bCs/>
          <w:i/>
          <w:iCs/>
          <w:u w:val="single"/>
        </w:rPr>
        <w:t>Proposal 1:</w:t>
      </w:r>
      <w:r>
        <w:t xml:space="preserve"> </w:t>
      </w:r>
      <w:r>
        <w:rPr>
          <w:i/>
          <w:iCs/>
        </w:rPr>
        <w:t xml:space="preserve">The evaluation of the NR NTN coverage performance is only on FR1. </w:t>
      </w:r>
    </w:p>
    <w:p w14:paraId="46540647" w14:textId="53111261" w:rsidR="000D011A" w:rsidRDefault="000D011A" w:rsidP="00740B36">
      <w:pPr>
        <w:jc w:val="both"/>
      </w:pPr>
    </w:p>
    <w:p w14:paraId="1D7D6EC5" w14:textId="77777777" w:rsidR="008C6245" w:rsidRDefault="008C6245" w:rsidP="008C6245">
      <w:pPr>
        <w:jc w:val="both"/>
        <w:rPr>
          <w:i/>
          <w:iCs/>
        </w:rPr>
      </w:pPr>
      <w:r w:rsidRPr="003F245C">
        <w:rPr>
          <w:b/>
          <w:bCs/>
          <w:i/>
          <w:iCs/>
          <w:u w:val="single"/>
        </w:rPr>
        <w:t xml:space="preserve">Proposal </w:t>
      </w:r>
      <w:r>
        <w:rPr>
          <w:b/>
          <w:bCs/>
          <w:i/>
          <w:iCs/>
          <w:u w:val="single"/>
        </w:rPr>
        <w:t>2</w:t>
      </w:r>
      <w:r w:rsidRPr="003F245C">
        <w:rPr>
          <w:b/>
          <w:bCs/>
          <w:i/>
          <w:iCs/>
          <w:u w:val="single"/>
        </w:rPr>
        <w:t>:</w:t>
      </w:r>
      <w:r>
        <w:t xml:space="preserve"> </w:t>
      </w:r>
      <w:r>
        <w:rPr>
          <w:i/>
          <w:iCs/>
        </w:rPr>
        <w:t xml:space="preserve">The evaluation of the NR NTN coverage performance has the assumptions of </w:t>
      </w:r>
    </w:p>
    <w:p w14:paraId="700F3123" w14:textId="77777777" w:rsidR="008C6245" w:rsidRPr="003D5BB1" w:rsidRDefault="008C6245" w:rsidP="008C6245">
      <w:pPr>
        <w:pStyle w:val="ListParagraph"/>
        <w:numPr>
          <w:ilvl w:val="0"/>
          <w:numId w:val="13"/>
        </w:numPr>
        <w:jc w:val="both"/>
        <w:rPr>
          <w:rFonts w:ascii="Times New Roman" w:hAnsi="Times New Roman"/>
          <w:i/>
          <w:iCs/>
          <w:sz w:val="24"/>
          <w:szCs w:val="24"/>
        </w:rPr>
      </w:pPr>
      <w:r w:rsidRPr="003D5BB1">
        <w:rPr>
          <w:rFonts w:ascii="Times New Roman" w:hAnsi="Times New Roman"/>
          <w:i/>
          <w:iCs/>
          <w:sz w:val="24"/>
          <w:szCs w:val="24"/>
        </w:rPr>
        <w:t>satellite orbital</w:t>
      </w:r>
      <w:r>
        <w:rPr>
          <w:rFonts w:ascii="Times New Roman" w:hAnsi="Times New Roman"/>
          <w:i/>
          <w:iCs/>
          <w:sz w:val="24"/>
          <w:szCs w:val="24"/>
        </w:rPr>
        <w:t>: G</w:t>
      </w:r>
      <w:r w:rsidRPr="003D5BB1">
        <w:rPr>
          <w:rFonts w:ascii="Times New Roman" w:hAnsi="Times New Roman"/>
          <w:i/>
          <w:iCs/>
          <w:sz w:val="24"/>
          <w:szCs w:val="24"/>
        </w:rPr>
        <w:t>EO, LEO-1200 and LEO-600</w:t>
      </w:r>
    </w:p>
    <w:p w14:paraId="11DD070D" w14:textId="77777777" w:rsidR="008C6245" w:rsidRDefault="008C6245" w:rsidP="008C6245">
      <w:pPr>
        <w:pStyle w:val="ListParagraph"/>
        <w:numPr>
          <w:ilvl w:val="0"/>
          <w:numId w:val="13"/>
        </w:numPr>
        <w:jc w:val="both"/>
        <w:rPr>
          <w:rFonts w:ascii="Times New Roman" w:hAnsi="Times New Roman"/>
          <w:i/>
          <w:iCs/>
          <w:sz w:val="24"/>
          <w:szCs w:val="24"/>
        </w:rPr>
      </w:pPr>
      <w:r w:rsidRPr="003D5BB1">
        <w:rPr>
          <w:rFonts w:ascii="Times New Roman" w:hAnsi="Times New Roman"/>
          <w:i/>
          <w:iCs/>
          <w:sz w:val="24"/>
          <w:szCs w:val="24"/>
        </w:rPr>
        <w:t>frequenc</w:t>
      </w:r>
      <w:r>
        <w:rPr>
          <w:rFonts w:ascii="Times New Roman" w:hAnsi="Times New Roman"/>
          <w:i/>
          <w:iCs/>
          <w:sz w:val="24"/>
          <w:szCs w:val="24"/>
        </w:rPr>
        <w:t>y:</w:t>
      </w:r>
      <w:r w:rsidRPr="003D5BB1">
        <w:rPr>
          <w:rFonts w:ascii="Times New Roman" w:hAnsi="Times New Roman"/>
          <w:i/>
          <w:iCs/>
          <w:sz w:val="24"/>
          <w:szCs w:val="24"/>
        </w:rPr>
        <w:t xml:space="preserve"> 2 GHz</w:t>
      </w:r>
    </w:p>
    <w:p w14:paraId="67643099" w14:textId="77777777" w:rsidR="008C6245" w:rsidRDefault="008C6245" w:rsidP="008C6245">
      <w:pPr>
        <w:pStyle w:val="ListParagraph"/>
        <w:numPr>
          <w:ilvl w:val="0"/>
          <w:numId w:val="13"/>
        </w:numPr>
        <w:jc w:val="both"/>
        <w:rPr>
          <w:rFonts w:ascii="Times New Roman" w:hAnsi="Times New Roman"/>
          <w:i/>
          <w:iCs/>
          <w:sz w:val="24"/>
          <w:szCs w:val="24"/>
        </w:rPr>
      </w:pPr>
      <w:r>
        <w:rPr>
          <w:rFonts w:ascii="Times New Roman" w:hAnsi="Times New Roman"/>
          <w:i/>
          <w:iCs/>
          <w:sz w:val="24"/>
          <w:szCs w:val="24"/>
        </w:rPr>
        <w:t>VoIP service: 320 bits with 20 ms data arriving interval</w:t>
      </w:r>
    </w:p>
    <w:p w14:paraId="09A9443D" w14:textId="77777777" w:rsidR="008C6245" w:rsidRDefault="008C6245" w:rsidP="008C6245">
      <w:pPr>
        <w:pStyle w:val="ListParagraph"/>
        <w:numPr>
          <w:ilvl w:val="0"/>
          <w:numId w:val="13"/>
        </w:numPr>
        <w:jc w:val="both"/>
        <w:rPr>
          <w:rFonts w:ascii="Times New Roman" w:hAnsi="Times New Roman"/>
          <w:i/>
          <w:iCs/>
          <w:sz w:val="24"/>
          <w:szCs w:val="24"/>
        </w:rPr>
      </w:pPr>
      <w:r>
        <w:rPr>
          <w:rFonts w:ascii="Times New Roman" w:hAnsi="Times New Roman"/>
          <w:i/>
          <w:iCs/>
          <w:sz w:val="24"/>
          <w:szCs w:val="24"/>
        </w:rPr>
        <w:t>Low-data rate service: 100 kbps for downlink and 50 kbps for uplink</w:t>
      </w:r>
    </w:p>
    <w:p w14:paraId="3DAB85CB" w14:textId="77777777" w:rsidR="008C6245" w:rsidRDefault="008C6245" w:rsidP="008C6245">
      <w:pPr>
        <w:pStyle w:val="ListParagraph"/>
        <w:numPr>
          <w:ilvl w:val="0"/>
          <w:numId w:val="13"/>
        </w:numPr>
        <w:jc w:val="both"/>
        <w:rPr>
          <w:rFonts w:ascii="Times New Roman" w:hAnsi="Times New Roman"/>
          <w:i/>
          <w:iCs/>
          <w:sz w:val="24"/>
          <w:szCs w:val="24"/>
        </w:rPr>
      </w:pPr>
      <w:r>
        <w:rPr>
          <w:rFonts w:ascii="Times New Roman" w:hAnsi="Times New Roman"/>
          <w:i/>
          <w:iCs/>
          <w:sz w:val="24"/>
          <w:szCs w:val="24"/>
        </w:rPr>
        <w:t>link-level channel model: NTN-TDL-C</w:t>
      </w:r>
    </w:p>
    <w:p w14:paraId="783887F9" w14:textId="77777777" w:rsidR="008C6245" w:rsidRDefault="008C6245" w:rsidP="008C6245">
      <w:pPr>
        <w:pStyle w:val="ListParagraph"/>
        <w:numPr>
          <w:ilvl w:val="0"/>
          <w:numId w:val="13"/>
        </w:numPr>
        <w:jc w:val="both"/>
        <w:rPr>
          <w:rFonts w:ascii="Times New Roman" w:hAnsi="Times New Roman"/>
          <w:i/>
          <w:iCs/>
          <w:sz w:val="24"/>
          <w:szCs w:val="24"/>
        </w:rPr>
      </w:pPr>
      <w:r>
        <w:rPr>
          <w:rFonts w:ascii="Times New Roman" w:hAnsi="Times New Roman"/>
          <w:i/>
          <w:iCs/>
          <w:sz w:val="24"/>
          <w:szCs w:val="24"/>
        </w:rPr>
        <w:t>delay spread: 100 ns</w:t>
      </w:r>
    </w:p>
    <w:p w14:paraId="2BC54362" w14:textId="77777777" w:rsidR="008C6245" w:rsidRDefault="008C6245" w:rsidP="008C6245">
      <w:pPr>
        <w:pStyle w:val="ListParagraph"/>
        <w:numPr>
          <w:ilvl w:val="0"/>
          <w:numId w:val="13"/>
        </w:numPr>
        <w:jc w:val="both"/>
        <w:rPr>
          <w:rFonts w:ascii="Times New Roman" w:hAnsi="Times New Roman"/>
          <w:i/>
          <w:iCs/>
          <w:sz w:val="24"/>
          <w:szCs w:val="24"/>
        </w:rPr>
      </w:pPr>
      <w:r>
        <w:rPr>
          <w:rFonts w:ascii="Times New Roman" w:hAnsi="Times New Roman"/>
          <w:i/>
          <w:iCs/>
          <w:sz w:val="24"/>
          <w:szCs w:val="24"/>
        </w:rPr>
        <w:t>channel bandwidth: 20 MHz</w:t>
      </w:r>
    </w:p>
    <w:p w14:paraId="49B6DE0B" w14:textId="77777777" w:rsidR="008C6245" w:rsidRDefault="008C6245" w:rsidP="008C6245">
      <w:pPr>
        <w:pStyle w:val="ListParagraph"/>
        <w:numPr>
          <w:ilvl w:val="0"/>
          <w:numId w:val="13"/>
        </w:numPr>
        <w:jc w:val="both"/>
        <w:rPr>
          <w:rFonts w:ascii="Times New Roman" w:hAnsi="Times New Roman"/>
          <w:i/>
          <w:iCs/>
          <w:sz w:val="24"/>
          <w:szCs w:val="24"/>
        </w:rPr>
      </w:pPr>
      <w:r>
        <w:rPr>
          <w:rFonts w:ascii="Times New Roman" w:hAnsi="Times New Roman"/>
          <w:i/>
          <w:iCs/>
          <w:sz w:val="24"/>
          <w:szCs w:val="24"/>
        </w:rPr>
        <w:t xml:space="preserve">UE velocity: 3 km/h </w:t>
      </w:r>
    </w:p>
    <w:p w14:paraId="077124DD" w14:textId="77777777" w:rsidR="008C6245" w:rsidRDefault="008C6245" w:rsidP="008C6245">
      <w:pPr>
        <w:pStyle w:val="ListParagraph"/>
        <w:numPr>
          <w:ilvl w:val="0"/>
          <w:numId w:val="13"/>
        </w:numPr>
        <w:jc w:val="both"/>
        <w:rPr>
          <w:rFonts w:ascii="Times New Roman" w:hAnsi="Times New Roman"/>
          <w:i/>
          <w:iCs/>
          <w:sz w:val="24"/>
          <w:szCs w:val="24"/>
        </w:rPr>
      </w:pPr>
      <w:r>
        <w:rPr>
          <w:rFonts w:ascii="Times New Roman" w:hAnsi="Times New Roman"/>
          <w:i/>
          <w:iCs/>
          <w:sz w:val="24"/>
          <w:szCs w:val="24"/>
        </w:rPr>
        <w:t>shadowing: 3 dB</w:t>
      </w:r>
    </w:p>
    <w:p w14:paraId="1A9FF619" w14:textId="77777777" w:rsidR="008C6245" w:rsidRDefault="008C6245" w:rsidP="008C6245">
      <w:pPr>
        <w:pStyle w:val="ListParagraph"/>
        <w:numPr>
          <w:ilvl w:val="0"/>
          <w:numId w:val="13"/>
        </w:numPr>
        <w:jc w:val="both"/>
        <w:rPr>
          <w:rFonts w:ascii="Times New Roman" w:hAnsi="Times New Roman"/>
          <w:i/>
          <w:iCs/>
          <w:sz w:val="24"/>
          <w:szCs w:val="24"/>
        </w:rPr>
      </w:pPr>
      <w:r>
        <w:rPr>
          <w:rFonts w:ascii="Times New Roman" w:hAnsi="Times New Roman"/>
          <w:i/>
          <w:iCs/>
          <w:sz w:val="24"/>
          <w:szCs w:val="24"/>
        </w:rPr>
        <w:t>atmospheric path loss: 0.2 dB for GEO, 0.1 dB for LEO-1200 and LEO-600</w:t>
      </w:r>
    </w:p>
    <w:p w14:paraId="05B0DF53" w14:textId="77777777" w:rsidR="008C6245" w:rsidRDefault="008C6245" w:rsidP="008C6245">
      <w:pPr>
        <w:pStyle w:val="ListParagraph"/>
        <w:numPr>
          <w:ilvl w:val="0"/>
          <w:numId w:val="13"/>
        </w:numPr>
        <w:jc w:val="both"/>
        <w:rPr>
          <w:rFonts w:ascii="Times New Roman" w:hAnsi="Times New Roman"/>
          <w:i/>
          <w:iCs/>
          <w:sz w:val="24"/>
          <w:szCs w:val="24"/>
        </w:rPr>
      </w:pPr>
      <w:r>
        <w:rPr>
          <w:rFonts w:ascii="Times New Roman" w:hAnsi="Times New Roman"/>
          <w:i/>
          <w:iCs/>
          <w:sz w:val="24"/>
          <w:szCs w:val="24"/>
        </w:rPr>
        <w:t>scintillation loss: 2.2 dB</w:t>
      </w:r>
    </w:p>
    <w:p w14:paraId="6D741624" w14:textId="77777777" w:rsidR="008C6245" w:rsidRPr="00A9231D" w:rsidRDefault="008C6245" w:rsidP="008C6245">
      <w:pPr>
        <w:pStyle w:val="ListParagraph"/>
        <w:numPr>
          <w:ilvl w:val="0"/>
          <w:numId w:val="13"/>
        </w:numPr>
        <w:jc w:val="both"/>
        <w:rPr>
          <w:rFonts w:ascii="Times New Roman" w:hAnsi="Times New Roman"/>
          <w:i/>
          <w:iCs/>
          <w:sz w:val="24"/>
          <w:szCs w:val="24"/>
        </w:rPr>
      </w:pPr>
      <w:r>
        <w:rPr>
          <w:rFonts w:ascii="Times New Roman" w:hAnsi="Times New Roman"/>
          <w:i/>
          <w:iCs/>
          <w:sz w:val="24"/>
          <w:szCs w:val="24"/>
        </w:rPr>
        <w:t>polarization loss: 3 dB</w:t>
      </w:r>
    </w:p>
    <w:p w14:paraId="50FB02F5" w14:textId="77777777" w:rsidR="00A9231D" w:rsidRDefault="00A9231D" w:rsidP="00740B36">
      <w:pPr>
        <w:jc w:val="both"/>
      </w:pPr>
    </w:p>
    <w:p w14:paraId="3927BE7D" w14:textId="77777777" w:rsidR="008C6245" w:rsidRDefault="008C6245" w:rsidP="008C6245">
      <w:pPr>
        <w:jc w:val="both"/>
        <w:rPr>
          <w:i/>
          <w:iCs/>
        </w:rPr>
      </w:pPr>
      <w:r w:rsidRPr="003F245C">
        <w:rPr>
          <w:b/>
          <w:bCs/>
          <w:i/>
          <w:iCs/>
          <w:u w:val="single"/>
        </w:rPr>
        <w:t xml:space="preserve">Proposal </w:t>
      </w:r>
      <w:r>
        <w:rPr>
          <w:b/>
          <w:bCs/>
          <w:i/>
          <w:iCs/>
          <w:u w:val="single"/>
        </w:rPr>
        <w:t>3</w:t>
      </w:r>
      <w:r w:rsidRPr="003F245C">
        <w:rPr>
          <w:b/>
          <w:bCs/>
          <w:i/>
          <w:iCs/>
          <w:u w:val="single"/>
        </w:rPr>
        <w:t>:</w:t>
      </w:r>
      <w:r>
        <w:t xml:space="preserve"> </w:t>
      </w:r>
      <w:r>
        <w:rPr>
          <w:i/>
          <w:iCs/>
        </w:rPr>
        <w:t xml:space="preserve">The evaluation of the NR NTN coverage performance has the assumption of set-1 or set-2 satellite parameters (i.e., satellite EIRP density and G/T) as reference. </w:t>
      </w:r>
    </w:p>
    <w:p w14:paraId="2686BDBA" w14:textId="77777777" w:rsidR="00A9231D" w:rsidRDefault="00A9231D" w:rsidP="00740B36">
      <w:pPr>
        <w:jc w:val="both"/>
      </w:pPr>
    </w:p>
    <w:p w14:paraId="5536F26B" w14:textId="5034D5C3" w:rsidR="008C6245" w:rsidRDefault="008C6245" w:rsidP="008C6245">
      <w:pPr>
        <w:jc w:val="both"/>
        <w:rPr>
          <w:i/>
          <w:iCs/>
        </w:rPr>
      </w:pPr>
      <w:r w:rsidRPr="003F245C">
        <w:rPr>
          <w:b/>
          <w:bCs/>
          <w:i/>
          <w:iCs/>
          <w:u w:val="single"/>
        </w:rPr>
        <w:t xml:space="preserve">Proposal </w:t>
      </w:r>
      <w:r w:rsidR="002C60D8">
        <w:rPr>
          <w:b/>
          <w:bCs/>
          <w:i/>
          <w:iCs/>
          <w:u w:val="single"/>
        </w:rPr>
        <w:t>4</w:t>
      </w:r>
      <w:r w:rsidRPr="003F245C">
        <w:rPr>
          <w:b/>
          <w:bCs/>
          <w:i/>
          <w:iCs/>
          <w:u w:val="single"/>
        </w:rPr>
        <w:t>:</w:t>
      </w:r>
      <w:r>
        <w:t xml:space="preserve"> </w:t>
      </w:r>
      <w:r>
        <w:rPr>
          <w:i/>
          <w:iCs/>
        </w:rPr>
        <w:t>In the evaluation of the NR NTN coverage performance, the satellite EIRP density is adjusted to satisfy ITU regulation of PFD limitation.</w:t>
      </w:r>
    </w:p>
    <w:p w14:paraId="37FECC56" w14:textId="77777777" w:rsidR="008C6245" w:rsidRDefault="008C6245" w:rsidP="008C6245">
      <w:pPr>
        <w:pStyle w:val="ListParagraph"/>
        <w:numPr>
          <w:ilvl w:val="0"/>
          <w:numId w:val="14"/>
        </w:numPr>
        <w:jc w:val="both"/>
        <w:rPr>
          <w:rFonts w:ascii="Times New Roman" w:hAnsi="Times New Roman"/>
          <w:i/>
          <w:iCs/>
          <w:sz w:val="24"/>
          <w:szCs w:val="24"/>
        </w:rPr>
      </w:pPr>
      <w:r w:rsidRPr="005E47AE">
        <w:rPr>
          <w:rFonts w:ascii="Times New Roman" w:hAnsi="Times New Roman"/>
          <w:i/>
          <w:iCs/>
          <w:sz w:val="24"/>
          <w:szCs w:val="24"/>
        </w:rPr>
        <w:t>With the consideration of ITU regulation of PFD limitation, the satellite EIRP</w:t>
      </w:r>
      <w:r>
        <w:rPr>
          <w:rFonts w:ascii="Times New Roman" w:hAnsi="Times New Roman"/>
          <w:i/>
          <w:iCs/>
          <w:sz w:val="24"/>
          <w:szCs w:val="24"/>
        </w:rPr>
        <w:t xml:space="preserve"> density</w:t>
      </w:r>
      <w:r w:rsidRPr="005E47AE">
        <w:rPr>
          <w:rFonts w:ascii="Times New Roman" w:hAnsi="Times New Roman"/>
          <w:i/>
          <w:iCs/>
          <w:sz w:val="24"/>
          <w:szCs w:val="24"/>
        </w:rPr>
        <w:t xml:space="preserve"> is </w:t>
      </w:r>
      <w:r>
        <w:rPr>
          <w:rFonts w:ascii="Times New Roman" w:hAnsi="Times New Roman"/>
          <w:i/>
          <w:iCs/>
          <w:sz w:val="24"/>
          <w:szCs w:val="24"/>
        </w:rPr>
        <w:t xml:space="preserve">adjusted to 44 dBW/MHz, 20 dBW/MHz and 14 dBW/MHz in GEO, LEO-1200, LEO-600, respectively. </w:t>
      </w:r>
    </w:p>
    <w:p w14:paraId="634F7BAA" w14:textId="77777777" w:rsidR="00A9231D" w:rsidRDefault="00A9231D" w:rsidP="00740B36">
      <w:pPr>
        <w:jc w:val="both"/>
      </w:pPr>
    </w:p>
    <w:p w14:paraId="6CA8D46F" w14:textId="20E2A8D6" w:rsidR="00A9231D" w:rsidRDefault="00A9231D" w:rsidP="00740B36">
      <w:pPr>
        <w:jc w:val="both"/>
      </w:pPr>
      <w:r w:rsidRPr="003F245C">
        <w:rPr>
          <w:b/>
          <w:bCs/>
          <w:i/>
          <w:iCs/>
          <w:u w:val="single"/>
        </w:rPr>
        <w:t xml:space="preserve">Proposal </w:t>
      </w:r>
      <w:r w:rsidR="002C60D8">
        <w:rPr>
          <w:b/>
          <w:bCs/>
          <w:i/>
          <w:iCs/>
          <w:u w:val="single"/>
        </w:rPr>
        <w:t>5</w:t>
      </w:r>
      <w:r w:rsidRPr="003F245C">
        <w:rPr>
          <w:b/>
          <w:bCs/>
          <w:i/>
          <w:iCs/>
          <w:u w:val="single"/>
        </w:rPr>
        <w:t>:</w:t>
      </w:r>
      <w:r>
        <w:t xml:space="preserve"> </w:t>
      </w:r>
      <w:r>
        <w:rPr>
          <w:i/>
          <w:iCs/>
        </w:rPr>
        <w:t>In the evaluation of NR NTN coverage performance, the MIL is used to identify the bottleneck physical layer channel.</w:t>
      </w:r>
    </w:p>
    <w:p w14:paraId="2DE6070A" w14:textId="77777777" w:rsidR="00A9231D" w:rsidRDefault="00A9231D" w:rsidP="00740B36">
      <w:pPr>
        <w:jc w:val="both"/>
      </w:pPr>
    </w:p>
    <w:p w14:paraId="57FD51B1" w14:textId="249F54F3" w:rsidR="00A9231D" w:rsidRDefault="00A9231D" w:rsidP="00740B36">
      <w:pPr>
        <w:jc w:val="both"/>
        <w:rPr>
          <w:i/>
          <w:iCs/>
        </w:rPr>
      </w:pPr>
      <w:bookmarkStart w:id="2" w:name="OLE_LINK3"/>
      <w:bookmarkStart w:id="3" w:name="OLE_LINK4"/>
      <w:r w:rsidRPr="003F245C">
        <w:rPr>
          <w:b/>
          <w:bCs/>
          <w:i/>
          <w:iCs/>
          <w:u w:val="single"/>
        </w:rPr>
        <w:lastRenderedPageBreak/>
        <w:t xml:space="preserve">Proposal </w:t>
      </w:r>
      <w:r w:rsidR="002C60D8">
        <w:rPr>
          <w:b/>
          <w:bCs/>
          <w:i/>
          <w:iCs/>
          <w:u w:val="single"/>
        </w:rPr>
        <w:t>6</w:t>
      </w:r>
      <w:r w:rsidRPr="003F245C">
        <w:rPr>
          <w:b/>
          <w:bCs/>
          <w:i/>
          <w:iCs/>
          <w:u w:val="single"/>
        </w:rPr>
        <w:t>:</w:t>
      </w:r>
      <w:r>
        <w:t xml:space="preserve"> </w:t>
      </w:r>
      <w:r>
        <w:rPr>
          <w:i/>
          <w:iCs/>
        </w:rPr>
        <w:t xml:space="preserve">The evaluation of the NR NTN coverage performance at least examines the physical channels of </w:t>
      </w:r>
      <w:r w:rsidRPr="00D222AD">
        <w:rPr>
          <w:i/>
          <w:iCs/>
        </w:rPr>
        <w:t>PDCCH, PDSCH, Msg 2 PDSCH, Msg 3 PUSCH, Msg 4 PDSCH</w:t>
      </w:r>
      <w:r w:rsidR="00A6609F" w:rsidRPr="00D222AD">
        <w:rPr>
          <w:i/>
          <w:iCs/>
        </w:rPr>
        <w:t xml:space="preserve"> and Msg 4 HARQ-ACK</w:t>
      </w:r>
      <w:r w:rsidRPr="00D222AD">
        <w:rPr>
          <w:i/>
          <w:iCs/>
        </w:rPr>
        <w:t>.</w:t>
      </w:r>
    </w:p>
    <w:bookmarkEnd w:id="2"/>
    <w:bookmarkEnd w:id="3"/>
    <w:p w14:paraId="69AE1F8D" w14:textId="77777777" w:rsidR="00A9231D" w:rsidRDefault="00A9231D" w:rsidP="00740B36">
      <w:pPr>
        <w:jc w:val="both"/>
      </w:pPr>
    </w:p>
    <w:p w14:paraId="753D7825" w14:textId="58C4A8BC" w:rsidR="00740B36" w:rsidRDefault="00740B36" w:rsidP="00740B36">
      <w:pPr>
        <w:jc w:val="both"/>
      </w:pPr>
      <w:r w:rsidRPr="003F245C">
        <w:rPr>
          <w:b/>
          <w:bCs/>
          <w:i/>
          <w:iCs/>
          <w:u w:val="single"/>
        </w:rPr>
        <w:t xml:space="preserve">Proposal </w:t>
      </w:r>
      <w:r w:rsidR="002C60D8">
        <w:rPr>
          <w:b/>
          <w:bCs/>
          <w:i/>
          <w:iCs/>
          <w:u w:val="single"/>
        </w:rPr>
        <w:t>7</w:t>
      </w:r>
      <w:r w:rsidRPr="003F245C">
        <w:rPr>
          <w:b/>
          <w:bCs/>
          <w:i/>
          <w:iCs/>
          <w:u w:val="single"/>
        </w:rPr>
        <w:t>:</w:t>
      </w:r>
      <w:r>
        <w:t xml:space="preserve"> </w:t>
      </w:r>
      <w:r>
        <w:rPr>
          <w:i/>
          <w:iCs/>
        </w:rPr>
        <w:t>For the evaluation assumption for each physical channel, reuse Tables A.1-2 - A.1-8 in TR 38.830 as much as possible.</w:t>
      </w:r>
    </w:p>
    <w:p w14:paraId="5C585D55" w14:textId="77777777" w:rsidR="008A7FB0" w:rsidRPr="008A7FB0" w:rsidRDefault="008A7FB0" w:rsidP="00A50B92">
      <w:pPr>
        <w:jc w:val="both"/>
      </w:pPr>
    </w:p>
    <w:p w14:paraId="2E75F001" w14:textId="77777777" w:rsidR="007E70BB" w:rsidRPr="00A6576F" w:rsidRDefault="005C63AE" w:rsidP="007E70BB">
      <w:pPr>
        <w:pStyle w:val="Heading1"/>
      </w:pPr>
      <w:r w:rsidRPr="00A6576F">
        <w:t>References</w:t>
      </w:r>
    </w:p>
    <w:p w14:paraId="0D2F0FBF" w14:textId="29573269" w:rsidR="0057029E" w:rsidRDefault="0057029E"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OLE_LINK1"/>
      <w:bookmarkStart w:id="5" w:name="OLE_LINK2"/>
      <w:bookmarkStart w:id="6" w:name="_Ref99716514"/>
      <w:bookmarkStart w:id="7" w:name="_Ref46220695"/>
      <w:r>
        <w:t xml:space="preserve">RP-213690, “New WI: NR NTN enhancements,” Dec. 2021. </w:t>
      </w:r>
    </w:p>
    <w:p w14:paraId="6D9F75FD" w14:textId="27CAF1EB" w:rsidR="00876848" w:rsidRDefault="00410051" w:rsidP="004E60F2">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RP-220953</w:t>
      </w:r>
      <w:r w:rsidR="00876848">
        <w:t>, “</w:t>
      </w:r>
      <w:r w:rsidR="0057029E">
        <w:t>WID on NR</w:t>
      </w:r>
      <w:r w:rsidR="00876848">
        <w:t xml:space="preserve"> NTN enhancements,” </w:t>
      </w:r>
      <w:r w:rsidR="0057029E">
        <w:t>Mar</w:t>
      </w:r>
      <w:r w:rsidR="00876848">
        <w:t>. 202</w:t>
      </w:r>
      <w:r w:rsidR="0057029E">
        <w:t>2</w:t>
      </w:r>
      <w:r w:rsidR="00876848">
        <w:t>.</w:t>
      </w:r>
    </w:p>
    <w:p w14:paraId="1DE0AF17" w14:textId="3993618E" w:rsidR="008D511F" w:rsidRDefault="0057029E" w:rsidP="0057029E">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8" w:name="_Ref100217924"/>
      <w:r>
        <w:t xml:space="preserve">3GPP TR 38.830, </w:t>
      </w:r>
      <w:r w:rsidR="005772F6">
        <w:t>S</w:t>
      </w:r>
      <w:r>
        <w:t>tudy on NR coverage enhancements, v17.0.0, Dec. 2020.</w:t>
      </w:r>
      <w:bookmarkEnd w:id="4"/>
      <w:bookmarkEnd w:id="5"/>
      <w:bookmarkEnd w:id="6"/>
      <w:bookmarkEnd w:id="7"/>
      <w:bookmarkEnd w:id="8"/>
    </w:p>
    <w:p w14:paraId="228D9E9D" w14:textId="2C70AFD5" w:rsidR="005772F6" w:rsidRDefault="005772F6" w:rsidP="0057029E">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100908432"/>
      <w:r>
        <w:t>3GPP TR 38.821, Solutions for NR to support non-terrestrial networks (NTN), v</w:t>
      </w:r>
      <w:r w:rsidR="00D40481">
        <w:t>.</w:t>
      </w:r>
      <w:r>
        <w:t xml:space="preserve"> 16.0.0, Dec. 2019.</w:t>
      </w:r>
      <w:bookmarkEnd w:id="9"/>
      <w:r>
        <w:t xml:space="preserve"> </w:t>
      </w:r>
    </w:p>
    <w:p w14:paraId="72106702" w14:textId="35C233BE" w:rsidR="006776A7" w:rsidRDefault="006776A7" w:rsidP="005E47AE">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0" w:name="_Ref101772893"/>
      <w:bookmarkStart w:id="11" w:name="_Ref100917293"/>
      <w:r>
        <w:t>3GPP TS 22.261, Service requirements for the 5G system; stage 1, v. 18.6.0, Mar. 2022.</w:t>
      </w:r>
      <w:bookmarkEnd w:id="10"/>
      <w:r>
        <w:t xml:space="preserve">  </w:t>
      </w:r>
    </w:p>
    <w:p w14:paraId="5C90FD99" w14:textId="3CF3DA74" w:rsidR="005E47AE" w:rsidRDefault="00D40481" w:rsidP="005E47AE">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3GPP TR 38.811, Study on NR to support non-terrestrial networks, v. 15.2.0, Sep. 2019.</w:t>
      </w:r>
      <w:bookmarkEnd w:id="11"/>
      <w:r>
        <w:t xml:space="preserve"> </w:t>
      </w:r>
      <w:bookmarkStart w:id="12" w:name="_Ref82768836"/>
    </w:p>
    <w:p w14:paraId="0E268DAC" w14:textId="04C9E767" w:rsidR="004F75DB" w:rsidRPr="00876848" w:rsidRDefault="005E47AE" w:rsidP="0041005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3" w:name="_Ref100945999"/>
      <w:r w:rsidRPr="005E47AE">
        <w:t>ITU Radio Regulations Appendices, Edition of 2020.</w:t>
      </w:r>
      <w:bookmarkEnd w:id="12"/>
      <w:bookmarkEnd w:id="13"/>
      <w:r w:rsidRPr="005E47AE">
        <w:t xml:space="preserve"> </w:t>
      </w:r>
    </w:p>
    <w:sectPr w:rsidR="004F75DB" w:rsidRPr="00876848" w:rsidSect="00827761">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27ACAA" w14:textId="77777777" w:rsidR="0061679E" w:rsidRDefault="0061679E">
      <w:r>
        <w:separator/>
      </w:r>
    </w:p>
  </w:endnote>
  <w:endnote w:type="continuationSeparator" w:id="0">
    <w:p w14:paraId="59BB1253" w14:textId="77777777" w:rsidR="0061679E" w:rsidRDefault="0061679E">
      <w:r>
        <w:continuationSeparator/>
      </w:r>
    </w:p>
  </w:endnote>
  <w:endnote w:type="continuationNotice" w:id="1">
    <w:p w14:paraId="3606DF0B" w14:textId="77777777" w:rsidR="0061679E" w:rsidRDefault="006167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notTrueType/>
    <w:pitch w:val="variable"/>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13632C" w:rsidRDefault="001363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8A96AE" w14:textId="77777777" w:rsidR="0061679E" w:rsidRDefault="0061679E">
      <w:r>
        <w:separator/>
      </w:r>
    </w:p>
  </w:footnote>
  <w:footnote w:type="continuationSeparator" w:id="0">
    <w:p w14:paraId="24753ACA" w14:textId="77777777" w:rsidR="0061679E" w:rsidRDefault="0061679E">
      <w:r>
        <w:continuationSeparator/>
      </w:r>
    </w:p>
  </w:footnote>
  <w:footnote w:type="continuationNotice" w:id="1">
    <w:p w14:paraId="4DF1DA86" w14:textId="77777777" w:rsidR="0061679E" w:rsidRDefault="0061679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B83EB2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1534D5"/>
    <w:multiLevelType w:val="hybridMultilevel"/>
    <w:tmpl w:val="18304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6386D8F"/>
    <w:multiLevelType w:val="hybridMultilevel"/>
    <w:tmpl w:val="8ED4D6B6"/>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0"/>
  </w:num>
  <w:num w:numId="3">
    <w:abstractNumId w:val="5"/>
  </w:num>
  <w:num w:numId="4">
    <w:abstractNumId w:val="6"/>
  </w:num>
  <w:num w:numId="5">
    <w:abstractNumId w:val="3"/>
  </w:num>
  <w:num w:numId="6">
    <w:abstractNumId w:val="8"/>
  </w:num>
  <w:num w:numId="7">
    <w:abstractNumId w:val="13"/>
  </w:num>
  <w:num w:numId="8">
    <w:abstractNumId w:val="4"/>
  </w:num>
  <w:num w:numId="9">
    <w:abstractNumId w:val="11"/>
  </w:num>
  <w:num w:numId="10">
    <w:abstractNumId w:val="0"/>
  </w:num>
  <w:num w:numId="11">
    <w:abstractNumId w:val="7"/>
  </w:num>
  <w:num w:numId="12">
    <w:abstractNumId w:val="9"/>
  </w:num>
  <w:num w:numId="13">
    <w:abstractNumId w:val="2"/>
  </w:num>
  <w:num w:numId="1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fr-FR" w:vendorID="64" w:dllVersion="4096" w:nlCheck="1" w:checkStyle="0"/>
  <w:activeWritingStyle w:appName="MSWord" w:lang="de-DE"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9D7"/>
    <w:rsid w:val="00000B51"/>
    <w:rsid w:val="00000FED"/>
    <w:rsid w:val="00001AAC"/>
    <w:rsid w:val="00001DAB"/>
    <w:rsid w:val="00002821"/>
    <w:rsid w:val="00002A37"/>
    <w:rsid w:val="0000317E"/>
    <w:rsid w:val="00003514"/>
    <w:rsid w:val="000048A7"/>
    <w:rsid w:val="00004900"/>
    <w:rsid w:val="00004BB1"/>
    <w:rsid w:val="00004BE5"/>
    <w:rsid w:val="00004C5B"/>
    <w:rsid w:val="00006446"/>
    <w:rsid w:val="0000685E"/>
    <w:rsid w:val="00006896"/>
    <w:rsid w:val="00006B58"/>
    <w:rsid w:val="00007198"/>
    <w:rsid w:val="000072C8"/>
    <w:rsid w:val="000079C9"/>
    <w:rsid w:val="00007CDC"/>
    <w:rsid w:val="00007E8B"/>
    <w:rsid w:val="00007EF0"/>
    <w:rsid w:val="000102B4"/>
    <w:rsid w:val="0001039D"/>
    <w:rsid w:val="000109AA"/>
    <w:rsid w:val="000117C7"/>
    <w:rsid w:val="00011837"/>
    <w:rsid w:val="00011B28"/>
    <w:rsid w:val="00012530"/>
    <w:rsid w:val="00012594"/>
    <w:rsid w:val="0001274F"/>
    <w:rsid w:val="00013567"/>
    <w:rsid w:val="00013762"/>
    <w:rsid w:val="000140A4"/>
    <w:rsid w:val="00014220"/>
    <w:rsid w:val="00014878"/>
    <w:rsid w:val="00014D88"/>
    <w:rsid w:val="00015370"/>
    <w:rsid w:val="000155D3"/>
    <w:rsid w:val="00015914"/>
    <w:rsid w:val="00015D15"/>
    <w:rsid w:val="000160B2"/>
    <w:rsid w:val="000168AE"/>
    <w:rsid w:val="00016C9A"/>
    <w:rsid w:val="00017404"/>
    <w:rsid w:val="00017528"/>
    <w:rsid w:val="00017927"/>
    <w:rsid w:val="000202F4"/>
    <w:rsid w:val="000204DB"/>
    <w:rsid w:val="000206E5"/>
    <w:rsid w:val="000207A2"/>
    <w:rsid w:val="0002093E"/>
    <w:rsid w:val="00021321"/>
    <w:rsid w:val="00021940"/>
    <w:rsid w:val="00023408"/>
    <w:rsid w:val="0002436E"/>
    <w:rsid w:val="000243BF"/>
    <w:rsid w:val="000248A4"/>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582C"/>
    <w:rsid w:val="00036BA1"/>
    <w:rsid w:val="00036E9B"/>
    <w:rsid w:val="0003770D"/>
    <w:rsid w:val="00037E0E"/>
    <w:rsid w:val="00037FBF"/>
    <w:rsid w:val="0004032D"/>
    <w:rsid w:val="0004137F"/>
    <w:rsid w:val="00041768"/>
    <w:rsid w:val="00042269"/>
    <w:rsid w:val="000422E2"/>
    <w:rsid w:val="0004232E"/>
    <w:rsid w:val="00042593"/>
    <w:rsid w:val="00042F22"/>
    <w:rsid w:val="00043063"/>
    <w:rsid w:val="00043940"/>
    <w:rsid w:val="000444EF"/>
    <w:rsid w:val="00044942"/>
    <w:rsid w:val="00044BF7"/>
    <w:rsid w:val="00045523"/>
    <w:rsid w:val="00045CA3"/>
    <w:rsid w:val="00045EB6"/>
    <w:rsid w:val="000460EB"/>
    <w:rsid w:val="000468D3"/>
    <w:rsid w:val="00046F1C"/>
    <w:rsid w:val="00047C44"/>
    <w:rsid w:val="00047D40"/>
    <w:rsid w:val="00047F52"/>
    <w:rsid w:val="00050314"/>
    <w:rsid w:val="00050779"/>
    <w:rsid w:val="000508AD"/>
    <w:rsid w:val="000514F9"/>
    <w:rsid w:val="0005168C"/>
    <w:rsid w:val="0005170D"/>
    <w:rsid w:val="0005274D"/>
    <w:rsid w:val="00052A07"/>
    <w:rsid w:val="00052B3B"/>
    <w:rsid w:val="000534E3"/>
    <w:rsid w:val="0005407B"/>
    <w:rsid w:val="00054A5B"/>
    <w:rsid w:val="00054B77"/>
    <w:rsid w:val="00054C1B"/>
    <w:rsid w:val="0005511A"/>
    <w:rsid w:val="0005537B"/>
    <w:rsid w:val="00055A6C"/>
    <w:rsid w:val="00055B95"/>
    <w:rsid w:val="00055EBF"/>
    <w:rsid w:val="0005606A"/>
    <w:rsid w:val="000560FC"/>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DF0"/>
    <w:rsid w:val="00064085"/>
    <w:rsid w:val="0006487E"/>
    <w:rsid w:val="000650C1"/>
    <w:rsid w:val="00065498"/>
    <w:rsid w:val="000654FB"/>
    <w:rsid w:val="00065E1A"/>
    <w:rsid w:val="000668B8"/>
    <w:rsid w:val="00067759"/>
    <w:rsid w:val="000705EB"/>
    <w:rsid w:val="000707A2"/>
    <w:rsid w:val="000708A3"/>
    <w:rsid w:val="00070E5C"/>
    <w:rsid w:val="00071841"/>
    <w:rsid w:val="00071F96"/>
    <w:rsid w:val="000721FE"/>
    <w:rsid w:val="00072B34"/>
    <w:rsid w:val="0007330B"/>
    <w:rsid w:val="000738F7"/>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BEA"/>
    <w:rsid w:val="00084D9F"/>
    <w:rsid w:val="00084F6E"/>
    <w:rsid w:val="00084FAB"/>
    <w:rsid w:val="00085025"/>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879B4"/>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0C0D"/>
    <w:rsid w:val="000A0E66"/>
    <w:rsid w:val="000A121B"/>
    <w:rsid w:val="000A1676"/>
    <w:rsid w:val="000A18D4"/>
    <w:rsid w:val="000A1967"/>
    <w:rsid w:val="000A1B71"/>
    <w:rsid w:val="000A1B7B"/>
    <w:rsid w:val="000A1BCE"/>
    <w:rsid w:val="000A244F"/>
    <w:rsid w:val="000A2785"/>
    <w:rsid w:val="000A2A9F"/>
    <w:rsid w:val="000A2B1B"/>
    <w:rsid w:val="000A3D91"/>
    <w:rsid w:val="000A4016"/>
    <w:rsid w:val="000A4455"/>
    <w:rsid w:val="000A4DBC"/>
    <w:rsid w:val="000A5012"/>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1891"/>
    <w:rsid w:val="000B1F8C"/>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038"/>
    <w:rsid w:val="000B610B"/>
    <w:rsid w:val="000B61E9"/>
    <w:rsid w:val="000B6212"/>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5A80"/>
    <w:rsid w:val="000C67A3"/>
    <w:rsid w:val="000C69B9"/>
    <w:rsid w:val="000C6C5E"/>
    <w:rsid w:val="000C7530"/>
    <w:rsid w:val="000C7FBF"/>
    <w:rsid w:val="000D011A"/>
    <w:rsid w:val="000D026B"/>
    <w:rsid w:val="000D05B3"/>
    <w:rsid w:val="000D0D07"/>
    <w:rsid w:val="000D0DA1"/>
    <w:rsid w:val="000D0DD0"/>
    <w:rsid w:val="000D0EFF"/>
    <w:rsid w:val="000D17F5"/>
    <w:rsid w:val="000D1D69"/>
    <w:rsid w:val="000D1F2E"/>
    <w:rsid w:val="000D1F94"/>
    <w:rsid w:val="000D2961"/>
    <w:rsid w:val="000D3AF0"/>
    <w:rsid w:val="000D427A"/>
    <w:rsid w:val="000D4797"/>
    <w:rsid w:val="000D4B25"/>
    <w:rsid w:val="000D4FAC"/>
    <w:rsid w:val="000D50DB"/>
    <w:rsid w:val="000D59C5"/>
    <w:rsid w:val="000D6423"/>
    <w:rsid w:val="000D6690"/>
    <w:rsid w:val="000D6841"/>
    <w:rsid w:val="000D689A"/>
    <w:rsid w:val="000D6B25"/>
    <w:rsid w:val="000D6F7A"/>
    <w:rsid w:val="000D71F4"/>
    <w:rsid w:val="000D7BDE"/>
    <w:rsid w:val="000E0527"/>
    <w:rsid w:val="000E0855"/>
    <w:rsid w:val="000E0A04"/>
    <w:rsid w:val="000E1032"/>
    <w:rsid w:val="000E113C"/>
    <w:rsid w:val="000E1875"/>
    <w:rsid w:val="000E1E92"/>
    <w:rsid w:val="000E23DE"/>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2D3F"/>
    <w:rsid w:val="000F334F"/>
    <w:rsid w:val="000F34DF"/>
    <w:rsid w:val="000F3BE9"/>
    <w:rsid w:val="000F3F6C"/>
    <w:rsid w:val="000F4676"/>
    <w:rsid w:val="000F4E73"/>
    <w:rsid w:val="000F5184"/>
    <w:rsid w:val="000F63FD"/>
    <w:rsid w:val="000F6C42"/>
    <w:rsid w:val="000F6DF3"/>
    <w:rsid w:val="000F6F4E"/>
    <w:rsid w:val="000F75D8"/>
    <w:rsid w:val="001002DA"/>
    <w:rsid w:val="001005FF"/>
    <w:rsid w:val="00100D9C"/>
    <w:rsid w:val="001012B0"/>
    <w:rsid w:val="00102304"/>
    <w:rsid w:val="001027FA"/>
    <w:rsid w:val="0010434A"/>
    <w:rsid w:val="001045CC"/>
    <w:rsid w:val="00104D81"/>
    <w:rsid w:val="00105A8C"/>
    <w:rsid w:val="001062FB"/>
    <w:rsid w:val="001063E6"/>
    <w:rsid w:val="0010678F"/>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643"/>
    <w:rsid w:val="00115AAB"/>
    <w:rsid w:val="00116765"/>
    <w:rsid w:val="00116EDA"/>
    <w:rsid w:val="0011738D"/>
    <w:rsid w:val="001174EF"/>
    <w:rsid w:val="00117850"/>
    <w:rsid w:val="00117EB6"/>
    <w:rsid w:val="001209F6"/>
    <w:rsid w:val="00120ADA"/>
    <w:rsid w:val="001219F5"/>
    <w:rsid w:val="00121A20"/>
    <w:rsid w:val="00121FDD"/>
    <w:rsid w:val="00122388"/>
    <w:rsid w:val="00122DF9"/>
    <w:rsid w:val="00122F2E"/>
    <w:rsid w:val="0012377F"/>
    <w:rsid w:val="00123C02"/>
    <w:rsid w:val="00123D95"/>
    <w:rsid w:val="0012408C"/>
    <w:rsid w:val="00124314"/>
    <w:rsid w:val="0012447D"/>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39A"/>
    <w:rsid w:val="0013084E"/>
    <w:rsid w:val="00130B6B"/>
    <w:rsid w:val="00130D0E"/>
    <w:rsid w:val="001314B2"/>
    <w:rsid w:val="00131A54"/>
    <w:rsid w:val="00131E55"/>
    <w:rsid w:val="0013216D"/>
    <w:rsid w:val="00132225"/>
    <w:rsid w:val="00132312"/>
    <w:rsid w:val="00132A13"/>
    <w:rsid w:val="00132BD0"/>
    <w:rsid w:val="00132FD0"/>
    <w:rsid w:val="00133AE5"/>
    <w:rsid w:val="00133E1C"/>
    <w:rsid w:val="00133E57"/>
    <w:rsid w:val="0013408B"/>
    <w:rsid w:val="001344A3"/>
    <w:rsid w:val="001344C0"/>
    <w:rsid w:val="001346FA"/>
    <w:rsid w:val="00134CF0"/>
    <w:rsid w:val="00135252"/>
    <w:rsid w:val="00135745"/>
    <w:rsid w:val="00135881"/>
    <w:rsid w:val="00135905"/>
    <w:rsid w:val="001360D8"/>
    <w:rsid w:val="0013632C"/>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2CFD"/>
    <w:rsid w:val="00143656"/>
    <w:rsid w:val="00143695"/>
    <w:rsid w:val="00143DDE"/>
    <w:rsid w:val="00144892"/>
    <w:rsid w:val="00144A2C"/>
    <w:rsid w:val="00144A81"/>
    <w:rsid w:val="00144DF9"/>
    <w:rsid w:val="00145FE2"/>
    <w:rsid w:val="001469D4"/>
    <w:rsid w:val="00147001"/>
    <w:rsid w:val="00147768"/>
    <w:rsid w:val="00147F55"/>
    <w:rsid w:val="001501DB"/>
    <w:rsid w:val="00150AB6"/>
    <w:rsid w:val="00150F90"/>
    <w:rsid w:val="00151178"/>
    <w:rsid w:val="00151189"/>
    <w:rsid w:val="0015147F"/>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6A62"/>
    <w:rsid w:val="00156E8A"/>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13C"/>
    <w:rsid w:val="00167FD2"/>
    <w:rsid w:val="0017002D"/>
    <w:rsid w:val="001701F0"/>
    <w:rsid w:val="00170235"/>
    <w:rsid w:val="001702E2"/>
    <w:rsid w:val="00170763"/>
    <w:rsid w:val="00170E4E"/>
    <w:rsid w:val="00171238"/>
    <w:rsid w:val="0017131F"/>
    <w:rsid w:val="00171489"/>
    <w:rsid w:val="00171D65"/>
    <w:rsid w:val="0017230C"/>
    <w:rsid w:val="001724AD"/>
    <w:rsid w:val="00172FC1"/>
    <w:rsid w:val="00173A8E"/>
    <w:rsid w:val="001744BB"/>
    <w:rsid w:val="001744DF"/>
    <w:rsid w:val="0017453A"/>
    <w:rsid w:val="001745E4"/>
    <w:rsid w:val="00174BAC"/>
    <w:rsid w:val="00174BF5"/>
    <w:rsid w:val="00174E65"/>
    <w:rsid w:val="001752FA"/>
    <w:rsid w:val="00175358"/>
    <w:rsid w:val="00175426"/>
    <w:rsid w:val="00176F6B"/>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B93"/>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37B"/>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968"/>
    <w:rsid w:val="001B0D97"/>
    <w:rsid w:val="001B1356"/>
    <w:rsid w:val="001B14F9"/>
    <w:rsid w:val="001B21DF"/>
    <w:rsid w:val="001B25E5"/>
    <w:rsid w:val="001B274D"/>
    <w:rsid w:val="001B3C44"/>
    <w:rsid w:val="001B444E"/>
    <w:rsid w:val="001B4453"/>
    <w:rsid w:val="001B49EC"/>
    <w:rsid w:val="001B52BA"/>
    <w:rsid w:val="001B5530"/>
    <w:rsid w:val="001B59C5"/>
    <w:rsid w:val="001B59DA"/>
    <w:rsid w:val="001B5A5D"/>
    <w:rsid w:val="001B5CBE"/>
    <w:rsid w:val="001B612E"/>
    <w:rsid w:val="001B6813"/>
    <w:rsid w:val="001B68B3"/>
    <w:rsid w:val="001B796C"/>
    <w:rsid w:val="001B7A0B"/>
    <w:rsid w:val="001B7A8C"/>
    <w:rsid w:val="001B7F5A"/>
    <w:rsid w:val="001C0105"/>
    <w:rsid w:val="001C06CE"/>
    <w:rsid w:val="001C0F53"/>
    <w:rsid w:val="001C1CE5"/>
    <w:rsid w:val="001C21C5"/>
    <w:rsid w:val="001C2327"/>
    <w:rsid w:val="001C2657"/>
    <w:rsid w:val="001C279F"/>
    <w:rsid w:val="001C3258"/>
    <w:rsid w:val="001C373E"/>
    <w:rsid w:val="001C377F"/>
    <w:rsid w:val="001C3CFF"/>
    <w:rsid w:val="001C3D2A"/>
    <w:rsid w:val="001C40B1"/>
    <w:rsid w:val="001C4924"/>
    <w:rsid w:val="001C4AA6"/>
    <w:rsid w:val="001C5118"/>
    <w:rsid w:val="001C5574"/>
    <w:rsid w:val="001C5726"/>
    <w:rsid w:val="001C5F15"/>
    <w:rsid w:val="001C6495"/>
    <w:rsid w:val="001C7019"/>
    <w:rsid w:val="001C7241"/>
    <w:rsid w:val="001C73A8"/>
    <w:rsid w:val="001C7EDE"/>
    <w:rsid w:val="001D1648"/>
    <w:rsid w:val="001D1DCC"/>
    <w:rsid w:val="001D1F94"/>
    <w:rsid w:val="001D24AE"/>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B81"/>
    <w:rsid w:val="001D6C6F"/>
    <w:rsid w:val="001D6D53"/>
    <w:rsid w:val="001D6F08"/>
    <w:rsid w:val="001D776C"/>
    <w:rsid w:val="001D77DE"/>
    <w:rsid w:val="001E01F8"/>
    <w:rsid w:val="001E0902"/>
    <w:rsid w:val="001E0DF6"/>
    <w:rsid w:val="001E0F8D"/>
    <w:rsid w:val="001E1DE4"/>
    <w:rsid w:val="001E225E"/>
    <w:rsid w:val="001E2DB2"/>
    <w:rsid w:val="001E416B"/>
    <w:rsid w:val="001E41F8"/>
    <w:rsid w:val="001E44E6"/>
    <w:rsid w:val="001E58DD"/>
    <w:rsid w:val="001E58E2"/>
    <w:rsid w:val="001E6091"/>
    <w:rsid w:val="001E7AED"/>
    <w:rsid w:val="001F07D8"/>
    <w:rsid w:val="001F087C"/>
    <w:rsid w:val="001F0B22"/>
    <w:rsid w:val="001F1025"/>
    <w:rsid w:val="001F11B7"/>
    <w:rsid w:val="001F19C8"/>
    <w:rsid w:val="001F2689"/>
    <w:rsid w:val="001F2D91"/>
    <w:rsid w:val="001F3467"/>
    <w:rsid w:val="001F355A"/>
    <w:rsid w:val="001F3916"/>
    <w:rsid w:val="001F3BB7"/>
    <w:rsid w:val="001F3D7C"/>
    <w:rsid w:val="001F44DF"/>
    <w:rsid w:val="001F46B9"/>
    <w:rsid w:val="001F54C5"/>
    <w:rsid w:val="001F5784"/>
    <w:rsid w:val="001F5AB3"/>
    <w:rsid w:val="001F6542"/>
    <w:rsid w:val="001F662C"/>
    <w:rsid w:val="001F6927"/>
    <w:rsid w:val="001F7074"/>
    <w:rsid w:val="001F7752"/>
    <w:rsid w:val="001F7923"/>
    <w:rsid w:val="00200490"/>
    <w:rsid w:val="002005D1"/>
    <w:rsid w:val="00200A3B"/>
    <w:rsid w:val="00200DDF"/>
    <w:rsid w:val="00200E3E"/>
    <w:rsid w:val="00200EFC"/>
    <w:rsid w:val="00200F80"/>
    <w:rsid w:val="002010D6"/>
    <w:rsid w:val="002011B6"/>
    <w:rsid w:val="00201B2B"/>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21C5"/>
    <w:rsid w:val="002126E8"/>
    <w:rsid w:val="00213283"/>
    <w:rsid w:val="00213867"/>
    <w:rsid w:val="00213E1E"/>
    <w:rsid w:val="0021495B"/>
    <w:rsid w:val="00214DA8"/>
    <w:rsid w:val="00215423"/>
    <w:rsid w:val="002158FA"/>
    <w:rsid w:val="00215A53"/>
    <w:rsid w:val="00215A92"/>
    <w:rsid w:val="00215D1D"/>
    <w:rsid w:val="00215EFE"/>
    <w:rsid w:val="00217079"/>
    <w:rsid w:val="0021735F"/>
    <w:rsid w:val="002175DB"/>
    <w:rsid w:val="00217ABD"/>
    <w:rsid w:val="00217D43"/>
    <w:rsid w:val="00220600"/>
    <w:rsid w:val="00220AD3"/>
    <w:rsid w:val="00221070"/>
    <w:rsid w:val="0022151E"/>
    <w:rsid w:val="002217DD"/>
    <w:rsid w:val="00221894"/>
    <w:rsid w:val="00221C6A"/>
    <w:rsid w:val="002224DB"/>
    <w:rsid w:val="00222DBC"/>
    <w:rsid w:val="00223FCB"/>
    <w:rsid w:val="002241A6"/>
    <w:rsid w:val="00224D76"/>
    <w:rsid w:val="002252AD"/>
    <w:rsid w:val="002252C3"/>
    <w:rsid w:val="0022544B"/>
    <w:rsid w:val="002257C5"/>
    <w:rsid w:val="00225C54"/>
    <w:rsid w:val="00226A79"/>
    <w:rsid w:val="00227749"/>
    <w:rsid w:val="00227AF2"/>
    <w:rsid w:val="00227E24"/>
    <w:rsid w:val="00227ECB"/>
    <w:rsid w:val="00230765"/>
    <w:rsid w:val="00231886"/>
    <w:rsid w:val="002319E4"/>
    <w:rsid w:val="0023274F"/>
    <w:rsid w:val="00232C7C"/>
    <w:rsid w:val="00233C3D"/>
    <w:rsid w:val="00233C9B"/>
    <w:rsid w:val="002347AD"/>
    <w:rsid w:val="00234934"/>
    <w:rsid w:val="002352DA"/>
    <w:rsid w:val="00235632"/>
    <w:rsid w:val="00235872"/>
    <w:rsid w:val="00235B27"/>
    <w:rsid w:val="00235B8D"/>
    <w:rsid w:val="00235BBB"/>
    <w:rsid w:val="00235F99"/>
    <w:rsid w:val="0023631C"/>
    <w:rsid w:val="00236361"/>
    <w:rsid w:val="00236817"/>
    <w:rsid w:val="00236C86"/>
    <w:rsid w:val="00236DC4"/>
    <w:rsid w:val="002370E7"/>
    <w:rsid w:val="00237BC1"/>
    <w:rsid w:val="00237F43"/>
    <w:rsid w:val="00237F50"/>
    <w:rsid w:val="00240D0C"/>
    <w:rsid w:val="0024104E"/>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526"/>
    <w:rsid w:val="002458B2"/>
    <w:rsid w:val="002458EB"/>
    <w:rsid w:val="00245ECE"/>
    <w:rsid w:val="0024622C"/>
    <w:rsid w:val="00246740"/>
    <w:rsid w:val="00247C40"/>
    <w:rsid w:val="00247E48"/>
    <w:rsid w:val="0025003A"/>
    <w:rsid w:val="002500C8"/>
    <w:rsid w:val="00251148"/>
    <w:rsid w:val="00251500"/>
    <w:rsid w:val="0025159A"/>
    <w:rsid w:val="00251949"/>
    <w:rsid w:val="00251CEE"/>
    <w:rsid w:val="00252E7C"/>
    <w:rsid w:val="00254AAF"/>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368"/>
    <w:rsid w:val="00270403"/>
    <w:rsid w:val="00270475"/>
    <w:rsid w:val="00270F16"/>
    <w:rsid w:val="002710A9"/>
    <w:rsid w:val="0027144F"/>
    <w:rsid w:val="00271F3A"/>
    <w:rsid w:val="00272064"/>
    <w:rsid w:val="002720C3"/>
    <w:rsid w:val="0027245A"/>
    <w:rsid w:val="00272E60"/>
    <w:rsid w:val="00273278"/>
    <w:rsid w:val="002736B5"/>
    <w:rsid w:val="002737F4"/>
    <w:rsid w:val="00273BED"/>
    <w:rsid w:val="00273D7F"/>
    <w:rsid w:val="0027406F"/>
    <w:rsid w:val="002741C0"/>
    <w:rsid w:val="00274A80"/>
    <w:rsid w:val="0027544A"/>
    <w:rsid w:val="00275549"/>
    <w:rsid w:val="0027586B"/>
    <w:rsid w:val="00275DBF"/>
    <w:rsid w:val="00276561"/>
    <w:rsid w:val="00276B58"/>
    <w:rsid w:val="00276D7F"/>
    <w:rsid w:val="0027777C"/>
    <w:rsid w:val="00277BB0"/>
    <w:rsid w:val="0028055F"/>
    <w:rsid w:val="002805F5"/>
    <w:rsid w:val="00280751"/>
    <w:rsid w:val="00280EBF"/>
    <w:rsid w:val="002818AE"/>
    <w:rsid w:val="0028255B"/>
    <w:rsid w:val="002827AD"/>
    <w:rsid w:val="0028280A"/>
    <w:rsid w:val="00282A55"/>
    <w:rsid w:val="00283426"/>
    <w:rsid w:val="00283894"/>
    <w:rsid w:val="0028398C"/>
    <w:rsid w:val="00283FA1"/>
    <w:rsid w:val="002849E5"/>
    <w:rsid w:val="00284D9D"/>
    <w:rsid w:val="00285265"/>
    <w:rsid w:val="002854D5"/>
    <w:rsid w:val="00285CDE"/>
    <w:rsid w:val="00286401"/>
    <w:rsid w:val="00286ACD"/>
    <w:rsid w:val="00286D5A"/>
    <w:rsid w:val="00287838"/>
    <w:rsid w:val="00290332"/>
    <w:rsid w:val="002907B5"/>
    <w:rsid w:val="00290B08"/>
    <w:rsid w:val="002910B7"/>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1FD1"/>
    <w:rsid w:val="002A2869"/>
    <w:rsid w:val="002A2980"/>
    <w:rsid w:val="002A2A87"/>
    <w:rsid w:val="002A2DB3"/>
    <w:rsid w:val="002A30D2"/>
    <w:rsid w:val="002A379D"/>
    <w:rsid w:val="002A3828"/>
    <w:rsid w:val="002A557A"/>
    <w:rsid w:val="002A5AC2"/>
    <w:rsid w:val="002A5DCC"/>
    <w:rsid w:val="002A5DEC"/>
    <w:rsid w:val="002A5EB0"/>
    <w:rsid w:val="002A66A7"/>
    <w:rsid w:val="002A72BE"/>
    <w:rsid w:val="002A73BA"/>
    <w:rsid w:val="002A7452"/>
    <w:rsid w:val="002A7589"/>
    <w:rsid w:val="002A794B"/>
    <w:rsid w:val="002A79BE"/>
    <w:rsid w:val="002A7D92"/>
    <w:rsid w:val="002B007F"/>
    <w:rsid w:val="002B0189"/>
    <w:rsid w:val="002B04EC"/>
    <w:rsid w:val="002B1373"/>
    <w:rsid w:val="002B1E4E"/>
    <w:rsid w:val="002B21AF"/>
    <w:rsid w:val="002B24D6"/>
    <w:rsid w:val="002B29F4"/>
    <w:rsid w:val="002B2FBC"/>
    <w:rsid w:val="002B33EC"/>
    <w:rsid w:val="002B3CB5"/>
    <w:rsid w:val="002B4256"/>
    <w:rsid w:val="002B46F2"/>
    <w:rsid w:val="002B4D70"/>
    <w:rsid w:val="002B53F6"/>
    <w:rsid w:val="002B56F8"/>
    <w:rsid w:val="002B5A33"/>
    <w:rsid w:val="002B6156"/>
    <w:rsid w:val="002B6CA5"/>
    <w:rsid w:val="002B73E3"/>
    <w:rsid w:val="002B7E95"/>
    <w:rsid w:val="002C0247"/>
    <w:rsid w:val="002C02EA"/>
    <w:rsid w:val="002C056C"/>
    <w:rsid w:val="002C087A"/>
    <w:rsid w:val="002C0960"/>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5DAC"/>
    <w:rsid w:val="002C60D8"/>
    <w:rsid w:val="002C6903"/>
    <w:rsid w:val="002C75F5"/>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B7"/>
    <w:rsid w:val="002D78C8"/>
    <w:rsid w:val="002D7A26"/>
    <w:rsid w:val="002D7CB9"/>
    <w:rsid w:val="002D7DDA"/>
    <w:rsid w:val="002E07C5"/>
    <w:rsid w:val="002E0DAA"/>
    <w:rsid w:val="002E1738"/>
    <w:rsid w:val="002E17F2"/>
    <w:rsid w:val="002E2740"/>
    <w:rsid w:val="002E28C1"/>
    <w:rsid w:val="002E2E4F"/>
    <w:rsid w:val="002E2F2A"/>
    <w:rsid w:val="002E2FD7"/>
    <w:rsid w:val="002E48AE"/>
    <w:rsid w:val="002E49A8"/>
    <w:rsid w:val="002E50C6"/>
    <w:rsid w:val="002E50D5"/>
    <w:rsid w:val="002E5207"/>
    <w:rsid w:val="002E57B7"/>
    <w:rsid w:val="002E6068"/>
    <w:rsid w:val="002E63F4"/>
    <w:rsid w:val="002E6612"/>
    <w:rsid w:val="002E6E7B"/>
    <w:rsid w:val="002E6EA1"/>
    <w:rsid w:val="002E7691"/>
    <w:rsid w:val="002E791C"/>
    <w:rsid w:val="002E7CAE"/>
    <w:rsid w:val="002E7CF9"/>
    <w:rsid w:val="002F0AC3"/>
    <w:rsid w:val="002F0BCE"/>
    <w:rsid w:val="002F0D88"/>
    <w:rsid w:val="002F2771"/>
    <w:rsid w:val="002F2A58"/>
    <w:rsid w:val="002F37A9"/>
    <w:rsid w:val="002F382E"/>
    <w:rsid w:val="002F455D"/>
    <w:rsid w:val="002F4597"/>
    <w:rsid w:val="002F459D"/>
    <w:rsid w:val="002F4940"/>
    <w:rsid w:val="002F49ED"/>
    <w:rsid w:val="002F4DFF"/>
    <w:rsid w:val="002F4EEB"/>
    <w:rsid w:val="002F4F23"/>
    <w:rsid w:val="002F539B"/>
    <w:rsid w:val="002F6AD8"/>
    <w:rsid w:val="002F6C3F"/>
    <w:rsid w:val="002F6EEF"/>
    <w:rsid w:val="002F7102"/>
    <w:rsid w:val="002F7A06"/>
    <w:rsid w:val="00300043"/>
    <w:rsid w:val="0030029C"/>
    <w:rsid w:val="00301779"/>
    <w:rsid w:val="00301CE6"/>
    <w:rsid w:val="00301ECA"/>
    <w:rsid w:val="0030256B"/>
    <w:rsid w:val="003025A6"/>
    <w:rsid w:val="00302762"/>
    <w:rsid w:val="0030304F"/>
    <w:rsid w:val="003031F8"/>
    <w:rsid w:val="00304171"/>
    <w:rsid w:val="0030501F"/>
    <w:rsid w:val="00305075"/>
    <w:rsid w:val="003051A7"/>
    <w:rsid w:val="00305473"/>
    <w:rsid w:val="00305DF2"/>
    <w:rsid w:val="00306F4A"/>
    <w:rsid w:val="003072CB"/>
    <w:rsid w:val="00307BA1"/>
    <w:rsid w:val="00311096"/>
    <w:rsid w:val="00311702"/>
    <w:rsid w:val="00311E82"/>
    <w:rsid w:val="00312190"/>
    <w:rsid w:val="0031286A"/>
    <w:rsid w:val="00312922"/>
    <w:rsid w:val="003131C0"/>
    <w:rsid w:val="00313EC2"/>
    <w:rsid w:val="00313FD6"/>
    <w:rsid w:val="003140AE"/>
    <w:rsid w:val="003143BD"/>
    <w:rsid w:val="00314929"/>
    <w:rsid w:val="003149BC"/>
    <w:rsid w:val="00314B3F"/>
    <w:rsid w:val="00314C47"/>
    <w:rsid w:val="00315787"/>
    <w:rsid w:val="003158EF"/>
    <w:rsid w:val="00315C6E"/>
    <w:rsid w:val="00315E1A"/>
    <w:rsid w:val="0031632F"/>
    <w:rsid w:val="00316FF6"/>
    <w:rsid w:val="00317197"/>
    <w:rsid w:val="003177EB"/>
    <w:rsid w:val="00317C6E"/>
    <w:rsid w:val="00317EEF"/>
    <w:rsid w:val="003203ED"/>
    <w:rsid w:val="003208B0"/>
    <w:rsid w:val="00320E22"/>
    <w:rsid w:val="003212DB"/>
    <w:rsid w:val="00322154"/>
    <w:rsid w:val="003222AB"/>
    <w:rsid w:val="003229F3"/>
    <w:rsid w:val="00322C9F"/>
    <w:rsid w:val="00323ACB"/>
    <w:rsid w:val="00323B73"/>
    <w:rsid w:val="00323EED"/>
    <w:rsid w:val="00324402"/>
    <w:rsid w:val="0032487D"/>
    <w:rsid w:val="003249E4"/>
    <w:rsid w:val="00324D23"/>
    <w:rsid w:val="00324FC1"/>
    <w:rsid w:val="0032515B"/>
    <w:rsid w:val="003251B5"/>
    <w:rsid w:val="003262F2"/>
    <w:rsid w:val="00326396"/>
    <w:rsid w:val="00326732"/>
    <w:rsid w:val="00326940"/>
    <w:rsid w:val="00326A64"/>
    <w:rsid w:val="0032739A"/>
    <w:rsid w:val="00327798"/>
    <w:rsid w:val="003278AB"/>
    <w:rsid w:val="00327B24"/>
    <w:rsid w:val="00327E7F"/>
    <w:rsid w:val="00330006"/>
    <w:rsid w:val="00330033"/>
    <w:rsid w:val="0033006B"/>
    <w:rsid w:val="00330734"/>
    <w:rsid w:val="00331751"/>
    <w:rsid w:val="00331DE4"/>
    <w:rsid w:val="00331EEB"/>
    <w:rsid w:val="00332F05"/>
    <w:rsid w:val="00333736"/>
    <w:rsid w:val="00333A84"/>
    <w:rsid w:val="00334002"/>
    <w:rsid w:val="00334579"/>
    <w:rsid w:val="0033505E"/>
    <w:rsid w:val="00335858"/>
    <w:rsid w:val="00335C1B"/>
    <w:rsid w:val="00335F39"/>
    <w:rsid w:val="00336BDA"/>
    <w:rsid w:val="00337194"/>
    <w:rsid w:val="003372DA"/>
    <w:rsid w:val="00337545"/>
    <w:rsid w:val="0033755F"/>
    <w:rsid w:val="00340555"/>
    <w:rsid w:val="00340A45"/>
    <w:rsid w:val="00340A56"/>
    <w:rsid w:val="00342BD7"/>
    <w:rsid w:val="00342E02"/>
    <w:rsid w:val="00343100"/>
    <w:rsid w:val="00343459"/>
    <w:rsid w:val="003435AB"/>
    <w:rsid w:val="00343A07"/>
    <w:rsid w:val="00343F15"/>
    <w:rsid w:val="0034458D"/>
    <w:rsid w:val="00344FB1"/>
    <w:rsid w:val="00345569"/>
    <w:rsid w:val="00345864"/>
    <w:rsid w:val="00345924"/>
    <w:rsid w:val="00346574"/>
    <w:rsid w:val="0034663D"/>
    <w:rsid w:val="0034690A"/>
    <w:rsid w:val="00346AA0"/>
    <w:rsid w:val="00346DB5"/>
    <w:rsid w:val="00346F20"/>
    <w:rsid w:val="003473CE"/>
    <w:rsid w:val="003477B1"/>
    <w:rsid w:val="0034788B"/>
    <w:rsid w:val="00350345"/>
    <w:rsid w:val="0035159F"/>
    <w:rsid w:val="00351782"/>
    <w:rsid w:val="00351A45"/>
    <w:rsid w:val="00351FA7"/>
    <w:rsid w:val="00352481"/>
    <w:rsid w:val="00352B0F"/>
    <w:rsid w:val="00352D87"/>
    <w:rsid w:val="0035342D"/>
    <w:rsid w:val="00353A0A"/>
    <w:rsid w:val="00353FD1"/>
    <w:rsid w:val="003545E2"/>
    <w:rsid w:val="0035482C"/>
    <w:rsid w:val="003548CB"/>
    <w:rsid w:val="0035499D"/>
    <w:rsid w:val="003565AE"/>
    <w:rsid w:val="00356FE7"/>
    <w:rsid w:val="00356FEB"/>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674"/>
    <w:rsid w:val="00365B20"/>
    <w:rsid w:val="0036688E"/>
    <w:rsid w:val="003670C4"/>
    <w:rsid w:val="00370E47"/>
    <w:rsid w:val="00371181"/>
    <w:rsid w:val="00372570"/>
    <w:rsid w:val="0037322F"/>
    <w:rsid w:val="0037323B"/>
    <w:rsid w:val="00374042"/>
    <w:rsid w:val="003742AC"/>
    <w:rsid w:val="00374839"/>
    <w:rsid w:val="003759BA"/>
    <w:rsid w:val="003762E9"/>
    <w:rsid w:val="00376A1A"/>
    <w:rsid w:val="00376B9D"/>
    <w:rsid w:val="00377CE1"/>
    <w:rsid w:val="003807F1"/>
    <w:rsid w:val="00380CEE"/>
    <w:rsid w:val="003815BB"/>
    <w:rsid w:val="00381638"/>
    <w:rsid w:val="0038168D"/>
    <w:rsid w:val="00382541"/>
    <w:rsid w:val="00383C13"/>
    <w:rsid w:val="00384372"/>
    <w:rsid w:val="00384F45"/>
    <w:rsid w:val="0038531D"/>
    <w:rsid w:val="00385BF0"/>
    <w:rsid w:val="00385F1A"/>
    <w:rsid w:val="003862AB"/>
    <w:rsid w:val="003865FE"/>
    <w:rsid w:val="00386C8D"/>
    <w:rsid w:val="0038744C"/>
    <w:rsid w:val="003874BE"/>
    <w:rsid w:val="003879D8"/>
    <w:rsid w:val="00387E49"/>
    <w:rsid w:val="00390359"/>
    <w:rsid w:val="0039127E"/>
    <w:rsid w:val="003915EB"/>
    <w:rsid w:val="00392E94"/>
    <w:rsid w:val="0039320A"/>
    <w:rsid w:val="003935E7"/>
    <w:rsid w:val="0039386A"/>
    <w:rsid w:val="003939FF"/>
    <w:rsid w:val="00393BCB"/>
    <w:rsid w:val="00394001"/>
    <w:rsid w:val="0039438D"/>
    <w:rsid w:val="00395165"/>
    <w:rsid w:val="00395B66"/>
    <w:rsid w:val="00396685"/>
    <w:rsid w:val="00397649"/>
    <w:rsid w:val="00397CC3"/>
    <w:rsid w:val="00397D57"/>
    <w:rsid w:val="003A0892"/>
    <w:rsid w:val="003A0E60"/>
    <w:rsid w:val="003A0F25"/>
    <w:rsid w:val="003A0F64"/>
    <w:rsid w:val="003A11A3"/>
    <w:rsid w:val="003A12E6"/>
    <w:rsid w:val="003A16A6"/>
    <w:rsid w:val="003A16FA"/>
    <w:rsid w:val="003A1725"/>
    <w:rsid w:val="003A1C15"/>
    <w:rsid w:val="003A2223"/>
    <w:rsid w:val="003A2638"/>
    <w:rsid w:val="003A2692"/>
    <w:rsid w:val="003A2A0F"/>
    <w:rsid w:val="003A2FCF"/>
    <w:rsid w:val="003A4100"/>
    <w:rsid w:val="003A449F"/>
    <w:rsid w:val="003A45A1"/>
    <w:rsid w:val="003A4B5B"/>
    <w:rsid w:val="003A52F5"/>
    <w:rsid w:val="003A5B0A"/>
    <w:rsid w:val="003A6BAC"/>
    <w:rsid w:val="003A6CFA"/>
    <w:rsid w:val="003A71F2"/>
    <w:rsid w:val="003A723A"/>
    <w:rsid w:val="003A7AEF"/>
    <w:rsid w:val="003A7E7C"/>
    <w:rsid w:val="003A7EF3"/>
    <w:rsid w:val="003B0554"/>
    <w:rsid w:val="003B05BE"/>
    <w:rsid w:val="003B13B9"/>
    <w:rsid w:val="003B159C"/>
    <w:rsid w:val="003B26A4"/>
    <w:rsid w:val="003B2A14"/>
    <w:rsid w:val="003B33E5"/>
    <w:rsid w:val="003B369F"/>
    <w:rsid w:val="003B36A3"/>
    <w:rsid w:val="003B381F"/>
    <w:rsid w:val="003B3A55"/>
    <w:rsid w:val="003B3C0F"/>
    <w:rsid w:val="003B3EE9"/>
    <w:rsid w:val="003B4985"/>
    <w:rsid w:val="003B4A1F"/>
    <w:rsid w:val="003B5024"/>
    <w:rsid w:val="003B573B"/>
    <w:rsid w:val="003B5A27"/>
    <w:rsid w:val="003B5BE1"/>
    <w:rsid w:val="003B5C09"/>
    <w:rsid w:val="003B5F50"/>
    <w:rsid w:val="003B6346"/>
    <w:rsid w:val="003B6B18"/>
    <w:rsid w:val="003B6B43"/>
    <w:rsid w:val="003B70E0"/>
    <w:rsid w:val="003B7700"/>
    <w:rsid w:val="003B785E"/>
    <w:rsid w:val="003B7FE5"/>
    <w:rsid w:val="003C11C8"/>
    <w:rsid w:val="003C16E6"/>
    <w:rsid w:val="003C1905"/>
    <w:rsid w:val="003C221A"/>
    <w:rsid w:val="003C2425"/>
    <w:rsid w:val="003C2516"/>
    <w:rsid w:val="003C2702"/>
    <w:rsid w:val="003C2D10"/>
    <w:rsid w:val="003C3F5D"/>
    <w:rsid w:val="003C4112"/>
    <w:rsid w:val="003C467F"/>
    <w:rsid w:val="003C471D"/>
    <w:rsid w:val="003C4D0A"/>
    <w:rsid w:val="003C4F5D"/>
    <w:rsid w:val="003C585B"/>
    <w:rsid w:val="003C5D55"/>
    <w:rsid w:val="003C6036"/>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3C8F"/>
    <w:rsid w:val="003D40F8"/>
    <w:rsid w:val="003D47C1"/>
    <w:rsid w:val="003D4ECB"/>
    <w:rsid w:val="003D5B1F"/>
    <w:rsid w:val="003D5BB1"/>
    <w:rsid w:val="003D6FCA"/>
    <w:rsid w:val="003D7193"/>
    <w:rsid w:val="003D761D"/>
    <w:rsid w:val="003D7625"/>
    <w:rsid w:val="003D7A25"/>
    <w:rsid w:val="003D7DE0"/>
    <w:rsid w:val="003E04AC"/>
    <w:rsid w:val="003E05BD"/>
    <w:rsid w:val="003E072B"/>
    <w:rsid w:val="003E0D27"/>
    <w:rsid w:val="003E0EE3"/>
    <w:rsid w:val="003E0F30"/>
    <w:rsid w:val="003E1382"/>
    <w:rsid w:val="003E1481"/>
    <w:rsid w:val="003E149B"/>
    <w:rsid w:val="003E15FA"/>
    <w:rsid w:val="003E181F"/>
    <w:rsid w:val="003E1D4C"/>
    <w:rsid w:val="003E2653"/>
    <w:rsid w:val="003E33C2"/>
    <w:rsid w:val="003E3A14"/>
    <w:rsid w:val="003E3C4D"/>
    <w:rsid w:val="003E434B"/>
    <w:rsid w:val="003E4A48"/>
    <w:rsid w:val="003E4E8E"/>
    <w:rsid w:val="003E50A3"/>
    <w:rsid w:val="003E55E4"/>
    <w:rsid w:val="003E5D31"/>
    <w:rsid w:val="003E6208"/>
    <w:rsid w:val="003E64C4"/>
    <w:rsid w:val="003E64FD"/>
    <w:rsid w:val="003E6B5A"/>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5C"/>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1EE"/>
    <w:rsid w:val="00407297"/>
    <w:rsid w:val="0040743C"/>
    <w:rsid w:val="00407452"/>
    <w:rsid w:val="00407460"/>
    <w:rsid w:val="00407463"/>
    <w:rsid w:val="00407CD3"/>
    <w:rsid w:val="00410051"/>
    <w:rsid w:val="00410134"/>
    <w:rsid w:val="00410202"/>
    <w:rsid w:val="00410B72"/>
    <w:rsid w:val="00410E67"/>
    <w:rsid w:val="00410F18"/>
    <w:rsid w:val="00410FF2"/>
    <w:rsid w:val="004116D8"/>
    <w:rsid w:val="00411965"/>
    <w:rsid w:val="0041263E"/>
    <w:rsid w:val="00412820"/>
    <w:rsid w:val="00412E13"/>
    <w:rsid w:val="00413288"/>
    <w:rsid w:val="00413AAC"/>
    <w:rsid w:val="00413CB4"/>
    <w:rsid w:val="004142B5"/>
    <w:rsid w:val="00415415"/>
    <w:rsid w:val="0041547C"/>
    <w:rsid w:val="0041576E"/>
    <w:rsid w:val="00415856"/>
    <w:rsid w:val="00415AE2"/>
    <w:rsid w:val="00415CFE"/>
    <w:rsid w:val="00416EC8"/>
    <w:rsid w:val="0041714C"/>
    <w:rsid w:val="00417E76"/>
    <w:rsid w:val="004207EE"/>
    <w:rsid w:val="00421105"/>
    <w:rsid w:val="00421595"/>
    <w:rsid w:val="004227AB"/>
    <w:rsid w:val="00422979"/>
    <w:rsid w:val="00422C2F"/>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BC2"/>
    <w:rsid w:val="00437C66"/>
    <w:rsid w:val="00437DE7"/>
    <w:rsid w:val="00440310"/>
    <w:rsid w:val="004408BD"/>
    <w:rsid w:val="00440B5F"/>
    <w:rsid w:val="00440DC2"/>
    <w:rsid w:val="00440EE9"/>
    <w:rsid w:val="00441475"/>
    <w:rsid w:val="004418DE"/>
    <w:rsid w:val="00441A92"/>
    <w:rsid w:val="004424BC"/>
    <w:rsid w:val="004436AB"/>
    <w:rsid w:val="0044378F"/>
    <w:rsid w:val="004440EC"/>
    <w:rsid w:val="00444403"/>
    <w:rsid w:val="00444431"/>
    <w:rsid w:val="004444D7"/>
    <w:rsid w:val="00444792"/>
    <w:rsid w:val="00444F56"/>
    <w:rsid w:val="00445DCE"/>
    <w:rsid w:val="00445FA0"/>
    <w:rsid w:val="00446488"/>
    <w:rsid w:val="00446749"/>
    <w:rsid w:val="004471F5"/>
    <w:rsid w:val="004473A5"/>
    <w:rsid w:val="00447607"/>
    <w:rsid w:val="00447626"/>
    <w:rsid w:val="004501D2"/>
    <w:rsid w:val="004501DC"/>
    <w:rsid w:val="00450B74"/>
    <w:rsid w:val="00450DD4"/>
    <w:rsid w:val="004517AA"/>
    <w:rsid w:val="00451C61"/>
    <w:rsid w:val="00451EEF"/>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042"/>
    <w:rsid w:val="0046430E"/>
    <w:rsid w:val="00464E0F"/>
    <w:rsid w:val="00465F3A"/>
    <w:rsid w:val="0046694A"/>
    <w:rsid w:val="004669E2"/>
    <w:rsid w:val="00466EBC"/>
    <w:rsid w:val="00467392"/>
    <w:rsid w:val="00467930"/>
    <w:rsid w:val="00467B8C"/>
    <w:rsid w:val="00467DF2"/>
    <w:rsid w:val="00470C31"/>
    <w:rsid w:val="00470C4F"/>
    <w:rsid w:val="00470DC1"/>
    <w:rsid w:val="00471963"/>
    <w:rsid w:val="004719C3"/>
    <w:rsid w:val="00471AFC"/>
    <w:rsid w:val="00472D9C"/>
    <w:rsid w:val="004734D0"/>
    <w:rsid w:val="004737F0"/>
    <w:rsid w:val="00473C75"/>
    <w:rsid w:val="00474096"/>
    <w:rsid w:val="004744C0"/>
    <w:rsid w:val="0047525B"/>
    <w:rsid w:val="0047556B"/>
    <w:rsid w:val="00475C6C"/>
    <w:rsid w:val="00476107"/>
    <w:rsid w:val="0047631A"/>
    <w:rsid w:val="004763C5"/>
    <w:rsid w:val="004765C1"/>
    <w:rsid w:val="00476929"/>
    <w:rsid w:val="00477768"/>
    <w:rsid w:val="004778F1"/>
    <w:rsid w:val="004808FD"/>
    <w:rsid w:val="004821D5"/>
    <w:rsid w:val="00482442"/>
    <w:rsid w:val="004824B0"/>
    <w:rsid w:val="00482AAD"/>
    <w:rsid w:val="00483127"/>
    <w:rsid w:val="00483897"/>
    <w:rsid w:val="004843B1"/>
    <w:rsid w:val="00484649"/>
    <w:rsid w:val="00484CFB"/>
    <w:rsid w:val="004853CE"/>
    <w:rsid w:val="00485A5D"/>
    <w:rsid w:val="0048618E"/>
    <w:rsid w:val="004865E7"/>
    <w:rsid w:val="00487488"/>
    <w:rsid w:val="004877E2"/>
    <w:rsid w:val="0049015D"/>
    <w:rsid w:val="00490604"/>
    <w:rsid w:val="00490A15"/>
    <w:rsid w:val="00490D41"/>
    <w:rsid w:val="00491FBF"/>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8CF"/>
    <w:rsid w:val="004B0AB7"/>
    <w:rsid w:val="004B20F8"/>
    <w:rsid w:val="004B31AC"/>
    <w:rsid w:val="004B3672"/>
    <w:rsid w:val="004B3EF9"/>
    <w:rsid w:val="004B3F31"/>
    <w:rsid w:val="004B409C"/>
    <w:rsid w:val="004B6327"/>
    <w:rsid w:val="004B676B"/>
    <w:rsid w:val="004B70A5"/>
    <w:rsid w:val="004B75D1"/>
    <w:rsid w:val="004B7821"/>
    <w:rsid w:val="004B7BFD"/>
    <w:rsid w:val="004B7C0C"/>
    <w:rsid w:val="004B7CA2"/>
    <w:rsid w:val="004C0045"/>
    <w:rsid w:val="004C01DC"/>
    <w:rsid w:val="004C0486"/>
    <w:rsid w:val="004C04EF"/>
    <w:rsid w:val="004C0D60"/>
    <w:rsid w:val="004C1682"/>
    <w:rsid w:val="004C1ABA"/>
    <w:rsid w:val="004C257E"/>
    <w:rsid w:val="004C28A2"/>
    <w:rsid w:val="004C2E9F"/>
    <w:rsid w:val="004C2F5B"/>
    <w:rsid w:val="004C2FCC"/>
    <w:rsid w:val="004C315B"/>
    <w:rsid w:val="004C3898"/>
    <w:rsid w:val="004C41EF"/>
    <w:rsid w:val="004C4904"/>
    <w:rsid w:val="004C4DA7"/>
    <w:rsid w:val="004C4E6A"/>
    <w:rsid w:val="004C4FA9"/>
    <w:rsid w:val="004C5898"/>
    <w:rsid w:val="004C5E66"/>
    <w:rsid w:val="004C6355"/>
    <w:rsid w:val="004C6A37"/>
    <w:rsid w:val="004C6CB7"/>
    <w:rsid w:val="004C6CEE"/>
    <w:rsid w:val="004C6DE7"/>
    <w:rsid w:val="004C73F2"/>
    <w:rsid w:val="004C755C"/>
    <w:rsid w:val="004C7A1D"/>
    <w:rsid w:val="004D0121"/>
    <w:rsid w:val="004D021E"/>
    <w:rsid w:val="004D146D"/>
    <w:rsid w:val="004D1A6A"/>
    <w:rsid w:val="004D1C02"/>
    <w:rsid w:val="004D2003"/>
    <w:rsid w:val="004D2209"/>
    <w:rsid w:val="004D2AF0"/>
    <w:rsid w:val="004D2C5B"/>
    <w:rsid w:val="004D2CD3"/>
    <w:rsid w:val="004D3045"/>
    <w:rsid w:val="004D3070"/>
    <w:rsid w:val="004D36B1"/>
    <w:rsid w:val="004D3D8D"/>
    <w:rsid w:val="004D4C97"/>
    <w:rsid w:val="004D4FB4"/>
    <w:rsid w:val="004D57E5"/>
    <w:rsid w:val="004D7B79"/>
    <w:rsid w:val="004D7EBD"/>
    <w:rsid w:val="004E0434"/>
    <w:rsid w:val="004E08E1"/>
    <w:rsid w:val="004E0903"/>
    <w:rsid w:val="004E0ABB"/>
    <w:rsid w:val="004E162A"/>
    <w:rsid w:val="004E1675"/>
    <w:rsid w:val="004E1FE5"/>
    <w:rsid w:val="004E24CC"/>
    <w:rsid w:val="004E25F2"/>
    <w:rsid w:val="004E2680"/>
    <w:rsid w:val="004E28F9"/>
    <w:rsid w:val="004E29DA"/>
    <w:rsid w:val="004E2F82"/>
    <w:rsid w:val="004E34E7"/>
    <w:rsid w:val="004E3AC0"/>
    <w:rsid w:val="004E462E"/>
    <w:rsid w:val="004E4678"/>
    <w:rsid w:val="004E4AC9"/>
    <w:rsid w:val="004E4F2C"/>
    <w:rsid w:val="004E56DC"/>
    <w:rsid w:val="004E5746"/>
    <w:rsid w:val="004E60F2"/>
    <w:rsid w:val="004E6A78"/>
    <w:rsid w:val="004E6C24"/>
    <w:rsid w:val="004E6D4B"/>
    <w:rsid w:val="004E734C"/>
    <w:rsid w:val="004E7438"/>
    <w:rsid w:val="004E76F4"/>
    <w:rsid w:val="004F018D"/>
    <w:rsid w:val="004F0501"/>
    <w:rsid w:val="004F064E"/>
    <w:rsid w:val="004F0B4E"/>
    <w:rsid w:val="004F0B6C"/>
    <w:rsid w:val="004F124A"/>
    <w:rsid w:val="004F2078"/>
    <w:rsid w:val="004F210A"/>
    <w:rsid w:val="004F2507"/>
    <w:rsid w:val="004F2AE0"/>
    <w:rsid w:val="004F4200"/>
    <w:rsid w:val="004F4435"/>
    <w:rsid w:val="004F48F7"/>
    <w:rsid w:val="004F4931"/>
    <w:rsid w:val="004F4AFB"/>
    <w:rsid w:val="004F4DA3"/>
    <w:rsid w:val="004F5AC4"/>
    <w:rsid w:val="004F5E9A"/>
    <w:rsid w:val="004F631E"/>
    <w:rsid w:val="004F6B70"/>
    <w:rsid w:val="004F742C"/>
    <w:rsid w:val="004F75DB"/>
    <w:rsid w:val="004F7717"/>
    <w:rsid w:val="004F7CF6"/>
    <w:rsid w:val="005003DC"/>
    <w:rsid w:val="00500988"/>
    <w:rsid w:val="00500BC2"/>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7B4"/>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8B"/>
    <w:rsid w:val="00514CF8"/>
    <w:rsid w:val="005150B5"/>
    <w:rsid w:val="005153A7"/>
    <w:rsid w:val="005153C8"/>
    <w:rsid w:val="0051595C"/>
    <w:rsid w:val="0051690D"/>
    <w:rsid w:val="00517725"/>
    <w:rsid w:val="0051789C"/>
    <w:rsid w:val="005178BC"/>
    <w:rsid w:val="00520327"/>
    <w:rsid w:val="005207D9"/>
    <w:rsid w:val="005215D8"/>
    <w:rsid w:val="00521780"/>
    <w:rsid w:val="005219CF"/>
    <w:rsid w:val="00521CAF"/>
    <w:rsid w:val="00521DA4"/>
    <w:rsid w:val="00521EBB"/>
    <w:rsid w:val="00522248"/>
    <w:rsid w:val="00523CD1"/>
    <w:rsid w:val="00523D37"/>
    <w:rsid w:val="00524AC7"/>
    <w:rsid w:val="00525315"/>
    <w:rsid w:val="00525439"/>
    <w:rsid w:val="00526167"/>
    <w:rsid w:val="0052616B"/>
    <w:rsid w:val="00526186"/>
    <w:rsid w:val="00526998"/>
    <w:rsid w:val="00526B0A"/>
    <w:rsid w:val="00527463"/>
    <w:rsid w:val="005300DF"/>
    <w:rsid w:val="00530B45"/>
    <w:rsid w:val="00531215"/>
    <w:rsid w:val="005314A7"/>
    <w:rsid w:val="005317B9"/>
    <w:rsid w:val="00532096"/>
    <w:rsid w:val="005321B3"/>
    <w:rsid w:val="00532A84"/>
    <w:rsid w:val="00533498"/>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172"/>
    <w:rsid w:val="005418FC"/>
    <w:rsid w:val="00541DD6"/>
    <w:rsid w:val="00542206"/>
    <w:rsid w:val="0054238A"/>
    <w:rsid w:val="00542897"/>
    <w:rsid w:val="00542899"/>
    <w:rsid w:val="0054302C"/>
    <w:rsid w:val="005432AB"/>
    <w:rsid w:val="0054355D"/>
    <w:rsid w:val="00543A68"/>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1007"/>
    <w:rsid w:val="005517F4"/>
    <w:rsid w:val="005518BD"/>
    <w:rsid w:val="00551E54"/>
    <w:rsid w:val="00551FE1"/>
    <w:rsid w:val="005528EC"/>
    <w:rsid w:val="00553221"/>
    <w:rsid w:val="00553377"/>
    <w:rsid w:val="0055357E"/>
    <w:rsid w:val="00553598"/>
    <w:rsid w:val="00553DD6"/>
    <w:rsid w:val="00553E17"/>
    <w:rsid w:val="005545B8"/>
    <w:rsid w:val="00554D4D"/>
    <w:rsid w:val="00554E19"/>
    <w:rsid w:val="00555993"/>
    <w:rsid w:val="00556504"/>
    <w:rsid w:val="00556E14"/>
    <w:rsid w:val="005575D5"/>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29E"/>
    <w:rsid w:val="00570BE9"/>
    <w:rsid w:val="00570DAC"/>
    <w:rsid w:val="00570F73"/>
    <w:rsid w:val="00570F99"/>
    <w:rsid w:val="005713F2"/>
    <w:rsid w:val="00571A63"/>
    <w:rsid w:val="00572450"/>
    <w:rsid w:val="00572505"/>
    <w:rsid w:val="00572656"/>
    <w:rsid w:val="0057277C"/>
    <w:rsid w:val="00573C5A"/>
    <w:rsid w:val="0057412A"/>
    <w:rsid w:val="00574366"/>
    <w:rsid w:val="00574915"/>
    <w:rsid w:val="00574B49"/>
    <w:rsid w:val="0057509A"/>
    <w:rsid w:val="00575394"/>
    <w:rsid w:val="0057575D"/>
    <w:rsid w:val="00575B0F"/>
    <w:rsid w:val="00576006"/>
    <w:rsid w:val="005763CF"/>
    <w:rsid w:val="00576627"/>
    <w:rsid w:val="005767E5"/>
    <w:rsid w:val="005772F6"/>
    <w:rsid w:val="00577BB1"/>
    <w:rsid w:val="0058169C"/>
    <w:rsid w:val="0058172D"/>
    <w:rsid w:val="00581F3E"/>
    <w:rsid w:val="0058234F"/>
    <w:rsid w:val="00582809"/>
    <w:rsid w:val="00582C50"/>
    <w:rsid w:val="00582E08"/>
    <w:rsid w:val="00582E97"/>
    <w:rsid w:val="00582FEB"/>
    <w:rsid w:val="00583C22"/>
    <w:rsid w:val="00583C62"/>
    <w:rsid w:val="00584529"/>
    <w:rsid w:val="00584668"/>
    <w:rsid w:val="00585462"/>
    <w:rsid w:val="00586FEE"/>
    <w:rsid w:val="0058798C"/>
    <w:rsid w:val="005900FA"/>
    <w:rsid w:val="00590167"/>
    <w:rsid w:val="005901CF"/>
    <w:rsid w:val="00590855"/>
    <w:rsid w:val="00591403"/>
    <w:rsid w:val="00591ADF"/>
    <w:rsid w:val="00591C56"/>
    <w:rsid w:val="00591D01"/>
    <w:rsid w:val="00591F85"/>
    <w:rsid w:val="0059346F"/>
    <w:rsid w:val="005935A4"/>
    <w:rsid w:val="005946D9"/>
    <w:rsid w:val="0059484A"/>
    <w:rsid w:val="005948C2"/>
    <w:rsid w:val="0059525F"/>
    <w:rsid w:val="00595378"/>
    <w:rsid w:val="005955D9"/>
    <w:rsid w:val="00595B60"/>
    <w:rsid w:val="00595DCA"/>
    <w:rsid w:val="005966DF"/>
    <w:rsid w:val="00596BF0"/>
    <w:rsid w:val="00597152"/>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09"/>
    <w:rsid w:val="005B392A"/>
    <w:rsid w:val="005B39F7"/>
    <w:rsid w:val="005B3AA3"/>
    <w:rsid w:val="005B421F"/>
    <w:rsid w:val="005B45DE"/>
    <w:rsid w:val="005B4C1E"/>
    <w:rsid w:val="005B5C93"/>
    <w:rsid w:val="005B613B"/>
    <w:rsid w:val="005B6F83"/>
    <w:rsid w:val="005B7A0C"/>
    <w:rsid w:val="005C113B"/>
    <w:rsid w:val="005C1E43"/>
    <w:rsid w:val="005C2797"/>
    <w:rsid w:val="005C2D16"/>
    <w:rsid w:val="005C2ED9"/>
    <w:rsid w:val="005C31DE"/>
    <w:rsid w:val="005C33E1"/>
    <w:rsid w:val="005C3FC9"/>
    <w:rsid w:val="005C4245"/>
    <w:rsid w:val="005C4532"/>
    <w:rsid w:val="005C4569"/>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47AE"/>
    <w:rsid w:val="005E5197"/>
    <w:rsid w:val="005E53B0"/>
    <w:rsid w:val="005E5B81"/>
    <w:rsid w:val="005E6250"/>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23C"/>
    <w:rsid w:val="005F4627"/>
    <w:rsid w:val="005F4ED8"/>
    <w:rsid w:val="005F5246"/>
    <w:rsid w:val="005F5616"/>
    <w:rsid w:val="005F59B6"/>
    <w:rsid w:val="005F5E2D"/>
    <w:rsid w:val="005F618C"/>
    <w:rsid w:val="005F67C8"/>
    <w:rsid w:val="005F686F"/>
    <w:rsid w:val="005F6A5D"/>
    <w:rsid w:val="005F70BD"/>
    <w:rsid w:val="005F7934"/>
    <w:rsid w:val="005F7943"/>
    <w:rsid w:val="0060080E"/>
    <w:rsid w:val="0060082B"/>
    <w:rsid w:val="00600BB2"/>
    <w:rsid w:val="00601161"/>
    <w:rsid w:val="00601515"/>
    <w:rsid w:val="0060179E"/>
    <w:rsid w:val="006021C1"/>
    <w:rsid w:val="0060283C"/>
    <w:rsid w:val="00604443"/>
    <w:rsid w:val="00604BA5"/>
    <w:rsid w:val="00604F14"/>
    <w:rsid w:val="00605391"/>
    <w:rsid w:val="0060539F"/>
    <w:rsid w:val="00605732"/>
    <w:rsid w:val="00605A32"/>
    <w:rsid w:val="00605F62"/>
    <w:rsid w:val="00606360"/>
    <w:rsid w:val="006063CC"/>
    <w:rsid w:val="00606643"/>
    <w:rsid w:val="00607677"/>
    <w:rsid w:val="00607BB5"/>
    <w:rsid w:val="00610361"/>
    <w:rsid w:val="00610417"/>
    <w:rsid w:val="00610612"/>
    <w:rsid w:val="00610A0E"/>
    <w:rsid w:val="00610EC4"/>
    <w:rsid w:val="006115ED"/>
    <w:rsid w:val="00611A89"/>
    <w:rsid w:val="00611B83"/>
    <w:rsid w:val="0061206D"/>
    <w:rsid w:val="00612756"/>
    <w:rsid w:val="00612775"/>
    <w:rsid w:val="00612CBC"/>
    <w:rsid w:val="00613257"/>
    <w:rsid w:val="00613299"/>
    <w:rsid w:val="006137D4"/>
    <w:rsid w:val="00613A70"/>
    <w:rsid w:val="006148F5"/>
    <w:rsid w:val="0061569B"/>
    <w:rsid w:val="00615721"/>
    <w:rsid w:val="00616485"/>
    <w:rsid w:val="0061679E"/>
    <w:rsid w:val="006169D7"/>
    <w:rsid w:val="00616CC6"/>
    <w:rsid w:val="006175CD"/>
    <w:rsid w:val="00620688"/>
    <w:rsid w:val="00620A71"/>
    <w:rsid w:val="00620B43"/>
    <w:rsid w:val="00620D80"/>
    <w:rsid w:val="00620E59"/>
    <w:rsid w:val="0062119F"/>
    <w:rsid w:val="00621341"/>
    <w:rsid w:val="00621559"/>
    <w:rsid w:val="00622545"/>
    <w:rsid w:val="0062297C"/>
    <w:rsid w:val="00622BDB"/>
    <w:rsid w:val="00622FBF"/>
    <w:rsid w:val="006234A6"/>
    <w:rsid w:val="006235E2"/>
    <w:rsid w:val="006238C6"/>
    <w:rsid w:val="00623E55"/>
    <w:rsid w:val="00623E78"/>
    <w:rsid w:val="00624246"/>
    <w:rsid w:val="0062428A"/>
    <w:rsid w:val="006243C3"/>
    <w:rsid w:val="00624B8A"/>
    <w:rsid w:val="00624CB1"/>
    <w:rsid w:val="00624D23"/>
    <w:rsid w:val="0062523C"/>
    <w:rsid w:val="00625396"/>
    <w:rsid w:val="006254F5"/>
    <w:rsid w:val="006259A6"/>
    <w:rsid w:val="006268AF"/>
    <w:rsid w:val="006268C6"/>
    <w:rsid w:val="00626BCE"/>
    <w:rsid w:val="00626E34"/>
    <w:rsid w:val="0062725B"/>
    <w:rsid w:val="006273B1"/>
    <w:rsid w:val="0062780F"/>
    <w:rsid w:val="00630001"/>
    <w:rsid w:val="00630780"/>
    <w:rsid w:val="00630837"/>
    <w:rsid w:val="00631012"/>
    <w:rsid w:val="006311B3"/>
    <w:rsid w:val="00631345"/>
    <w:rsid w:val="00631521"/>
    <w:rsid w:val="0063157F"/>
    <w:rsid w:val="00631D00"/>
    <w:rsid w:val="006326B6"/>
    <w:rsid w:val="0063284C"/>
    <w:rsid w:val="00632EA7"/>
    <w:rsid w:val="0063320E"/>
    <w:rsid w:val="0063337E"/>
    <w:rsid w:val="0063340A"/>
    <w:rsid w:val="006336AC"/>
    <w:rsid w:val="00633D83"/>
    <w:rsid w:val="006353F5"/>
    <w:rsid w:val="0063541F"/>
    <w:rsid w:val="006355C2"/>
    <w:rsid w:val="006361C1"/>
    <w:rsid w:val="00636398"/>
    <w:rsid w:val="006368D3"/>
    <w:rsid w:val="0063753A"/>
    <w:rsid w:val="006375C6"/>
    <w:rsid w:val="006377EC"/>
    <w:rsid w:val="00640009"/>
    <w:rsid w:val="006400C7"/>
    <w:rsid w:val="00640116"/>
    <w:rsid w:val="00640191"/>
    <w:rsid w:val="006401D0"/>
    <w:rsid w:val="006407EF"/>
    <w:rsid w:val="00640CEE"/>
    <w:rsid w:val="00641351"/>
    <w:rsid w:val="0064151F"/>
    <w:rsid w:val="00641533"/>
    <w:rsid w:val="00641A44"/>
    <w:rsid w:val="0064208D"/>
    <w:rsid w:val="006421E2"/>
    <w:rsid w:val="006427F5"/>
    <w:rsid w:val="00642DA2"/>
    <w:rsid w:val="0064345C"/>
    <w:rsid w:val="00643475"/>
    <w:rsid w:val="006435B8"/>
    <w:rsid w:val="0064396A"/>
    <w:rsid w:val="00643A60"/>
    <w:rsid w:val="0064404C"/>
    <w:rsid w:val="00645F60"/>
    <w:rsid w:val="0064624E"/>
    <w:rsid w:val="0064641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2F83"/>
    <w:rsid w:val="006633D7"/>
    <w:rsid w:val="006634E6"/>
    <w:rsid w:val="0066359C"/>
    <w:rsid w:val="00663BD2"/>
    <w:rsid w:val="00663BF2"/>
    <w:rsid w:val="00663C2D"/>
    <w:rsid w:val="00663E40"/>
    <w:rsid w:val="00663FA1"/>
    <w:rsid w:val="00664A3A"/>
    <w:rsid w:val="006655EE"/>
    <w:rsid w:val="006669B6"/>
    <w:rsid w:val="00666BFB"/>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202"/>
    <w:rsid w:val="006741D6"/>
    <w:rsid w:val="006741F2"/>
    <w:rsid w:val="006746F9"/>
    <w:rsid w:val="00674CC3"/>
    <w:rsid w:val="00675C72"/>
    <w:rsid w:val="00676901"/>
    <w:rsid w:val="0067719C"/>
    <w:rsid w:val="006771F9"/>
    <w:rsid w:val="0067767A"/>
    <w:rsid w:val="006776A7"/>
    <w:rsid w:val="006776D7"/>
    <w:rsid w:val="006777B6"/>
    <w:rsid w:val="00680143"/>
    <w:rsid w:val="006801D5"/>
    <w:rsid w:val="0068021F"/>
    <w:rsid w:val="00680925"/>
    <w:rsid w:val="00680D2B"/>
    <w:rsid w:val="00681003"/>
    <w:rsid w:val="0068175D"/>
    <w:rsid w:val="006817C9"/>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2B3"/>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6AD"/>
    <w:rsid w:val="006A06B8"/>
    <w:rsid w:val="006A0A9A"/>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EE6"/>
    <w:rsid w:val="006C1F08"/>
    <w:rsid w:val="006C2A21"/>
    <w:rsid w:val="006C2B12"/>
    <w:rsid w:val="006C2C70"/>
    <w:rsid w:val="006C2F14"/>
    <w:rsid w:val="006C2FDC"/>
    <w:rsid w:val="006C3863"/>
    <w:rsid w:val="006C38B9"/>
    <w:rsid w:val="006C39AC"/>
    <w:rsid w:val="006C3EC7"/>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5B4"/>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A84"/>
    <w:rsid w:val="006E17F7"/>
    <w:rsid w:val="006E21EA"/>
    <w:rsid w:val="006E22AE"/>
    <w:rsid w:val="006E28B7"/>
    <w:rsid w:val="006E297C"/>
    <w:rsid w:val="006E2CE3"/>
    <w:rsid w:val="006E2FB7"/>
    <w:rsid w:val="006E31BC"/>
    <w:rsid w:val="006E3310"/>
    <w:rsid w:val="006E35A5"/>
    <w:rsid w:val="006E3AC3"/>
    <w:rsid w:val="006E4512"/>
    <w:rsid w:val="006E47BC"/>
    <w:rsid w:val="006E4E39"/>
    <w:rsid w:val="006E50B5"/>
    <w:rsid w:val="006E565E"/>
    <w:rsid w:val="006E5C98"/>
    <w:rsid w:val="006E5FA3"/>
    <w:rsid w:val="006E665B"/>
    <w:rsid w:val="006E673D"/>
    <w:rsid w:val="006E6E87"/>
    <w:rsid w:val="006E6EC8"/>
    <w:rsid w:val="006E73AE"/>
    <w:rsid w:val="006E75C5"/>
    <w:rsid w:val="006E7898"/>
    <w:rsid w:val="006E7D3B"/>
    <w:rsid w:val="006E7F4F"/>
    <w:rsid w:val="006F01B6"/>
    <w:rsid w:val="006F0AFE"/>
    <w:rsid w:val="006F0C31"/>
    <w:rsid w:val="006F1B70"/>
    <w:rsid w:val="006F1E38"/>
    <w:rsid w:val="006F2117"/>
    <w:rsid w:val="006F2235"/>
    <w:rsid w:val="006F263E"/>
    <w:rsid w:val="006F2DD7"/>
    <w:rsid w:val="006F341D"/>
    <w:rsid w:val="006F3931"/>
    <w:rsid w:val="006F3CDE"/>
    <w:rsid w:val="006F3FD4"/>
    <w:rsid w:val="006F415D"/>
    <w:rsid w:val="006F4222"/>
    <w:rsid w:val="006F4344"/>
    <w:rsid w:val="006F4809"/>
    <w:rsid w:val="006F4D8E"/>
    <w:rsid w:val="006F50BB"/>
    <w:rsid w:val="006F51DD"/>
    <w:rsid w:val="006F5639"/>
    <w:rsid w:val="006F5797"/>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3F43"/>
    <w:rsid w:val="007041E1"/>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0FCF"/>
    <w:rsid w:val="007116B4"/>
    <w:rsid w:val="007117E0"/>
    <w:rsid w:val="00711927"/>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D9C"/>
    <w:rsid w:val="007172A4"/>
    <w:rsid w:val="007174A9"/>
    <w:rsid w:val="00717D52"/>
    <w:rsid w:val="00717DDE"/>
    <w:rsid w:val="00717EC8"/>
    <w:rsid w:val="00720129"/>
    <w:rsid w:val="0072029C"/>
    <w:rsid w:val="007207E0"/>
    <w:rsid w:val="00720A29"/>
    <w:rsid w:val="00720D6E"/>
    <w:rsid w:val="00720E14"/>
    <w:rsid w:val="00720FB2"/>
    <w:rsid w:val="00721593"/>
    <w:rsid w:val="007217B4"/>
    <w:rsid w:val="00722042"/>
    <w:rsid w:val="00722ED3"/>
    <w:rsid w:val="0072301B"/>
    <w:rsid w:val="007231C6"/>
    <w:rsid w:val="00723284"/>
    <w:rsid w:val="0072359E"/>
    <w:rsid w:val="0072441E"/>
    <w:rsid w:val="007255D2"/>
    <w:rsid w:val="00725CDF"/>
    <w:rsid w:val="00726422"/>
    <w:rsid w:val="00726EA6"/>
    <w:rsid w:val="00727208"/>
    <w:rsid w:val="0072766F"/>
    <w:rsid w:val="00727680"/>
    <w:rsid w:val="00727BE1"/>
    <w:rsid w:val="00727EC3"/>
    <w:rsid w:val="00730091"/>
    <w:rsid w:val="007301DD"/>
    <w:rsid w:val="00730860"/>
    <w:rsid w:val="00731E32"/>
    <w:rsid w:val="00733BDE"/>
    <w:rsid w:val="007340C9"/>
    <w:rsid w:val="00734874"/>
    <w:rsid w:val="007348B1"/>
    <w:rsid w:val="00734B23"/>
    <w:rsid w:val="007356CD"/>
    <w:rsid w:val="007358ED"/>
    <w:rsid w:val="007361C8"/>
    <w:rsid w:val="007362A6"/>
    <w:rsid w:val="00736657"/>
    <w:rsid w:val="0073666A"/>
    <w:rsid w:val="00736D7D"/>
    <w:rsid w:val="00737F7B"/>
    <w:rsid w:val="00740B36"/>
    <w:rsid w:val="00740E58"/>
    <w:rsid w:val="00740F0B"/>
    <w:rsid w:val="0074211F"/>
    <w:rsid w:val="007422EF"/>
    <w:rsid w:val="007429DC"/>
    <w:rsid w:val="00742A0C"/>
    <w:rsid w:val="00742CCF"/>
    <w:rsid w:val="00743CAB"/>
    <w:rsid w:val="00743E60"/>
    <w:rsid w:val="00744007"/>
    <w:rsid w:val="00744376"/>
    <w:rsid w:val="007445A0"/>
    <w:rsid w:val="007448FE"/>
    <w:rsid w:val="0074524B"/>
    <w:rsid w:val="007455B1"/>
    <w:rsid w:val="00745C9E"/>
    <w:rsid w:val="00746B70"/>
    <w:rsid w:val="007474EC"/>
    <w:rsid w:val="00747BA4"/>
    <w:rsid w:val="00747D8B"/>
    <w:rsid w:val="00750FA1"/>
    <w:rsid w:val="00751228"/>
    <w:rsid w:val="007515ED"/>
    <w:rsid w:val="0075190A"/>
    <w:rsid w:val="00752562"/>
    <w:rsid w:val="00752885"/>
    <w:rsid w:val="007529C3"/>
    <w:rsid w:val="00752A24"/>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29"/>
    <w:rsid w:val="00761E43"/>
    <w:rsid w:val="00762915"/>
    <w:rsid w:val="007630EA"/>
    <w:rsid w:val="00763A6D"/>
    <w:rsid w:val="00763E06"/>
    <w:rsid w:val="00764FBD"/>
    <w:rsid w:val="00765281"/>
    <w:rsid w:val="00765381"/>
    <w:rsid w:val="007658A5"/>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94D"/>
    <w:rsid w:val="007A1CB3"/>
    <w:rsid w:val="007A24E1"/>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160"/>
    <w:rsid w:val="007C05DD"/>
    <w:rsid w:val="007C0ACB"/>
    <w:rsid w:val="007C0E11"/>
    <w:rsid w:val="007C1341"/>
    <w:rsid w:val="007C13ED"/>
    <w:rsid w:val="007C14C7"/>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07E"/>
    <w:rsid w:val="007D0457"/>
    <w:rsid w:val="007D04E5"/>
    <w:rsid w:val="007D0EAF"/>
    <w:rsid w:val="007D1027"/>
    <w:rsid w:val="007D137B"/>
    <w:rsid w:val="007D1FCB"/>
    <w:rsid w:val="007D1FFB"/>
    <w:rsid w:val="007D29F2"/>
    <w:rsid w:val="007D2EA2"/>
    <w:rsid w:val="007D3269"/>
    <w:rsid w:val="007D347F"/>
    <w:rsid w:val="007D358D"/>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47D"/>
    <w:rsid w:val="007E0580"/>
    <w:rsid w:val="007E0B55"/>
    <w:rsid w:val="007E150A"/>
    <w:rsid w:val="007E16AA"/>
    <w:rsid w:val="007E28DA"/>
    <w:rsid w:val="007E342F"/>
    <w:rsid w:val="007E3855"/>
    <w:rsid w:val="007E403B"/>
    <w:rsid w:val="007E4345"/>
    <w:rsid w:val="007E4610"/>
    <w:rsid w:val="007E4715"/>
    <w:rsid w:val="007E4B03"/>
    <w:rsid w:val="007E4B60"/>
    <w:rsid w:val="007E505B"/>
    <w:rsid w:val="007E50C8"/>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D76"/>
    <w:rsid w:val="007F0EAE"/>
    <w:rsid w:val="007F1388"/>
    <w:rsid w:val="007F1713"/>
    <w:rsid w:val="007F1D05"/>
    <w:rsid w:val="007F23AC"/>
    <w:rsid w:val="007F3056"/>
    <w:rsid w:val="007F30B7"/>
    <w:rsid w:val="007F31D4"/>
    <w:rsid w:val="007F3AD7"/>
    <w:rsid w:val="007F49C8"/>
    <w:rsid w:val="007F5CDD"/>
    <w:rsid w:val="007F5D6F"/>
    <w:rsid w:val="007F6B18"/>
    <w:rsid w:val="00800FF0"/>
    <w:rsid w:val="00801259"/>
    <w:rsid w:val="008019AB"/>
    <w:rsid w:val="00801AAC"/>
    <w:rsid w:val="00801B94"/>
    <w:rsid w:val="00801D51"/>
    <w:rsid w:val="0080223B"/>
    <w:rsid w:val="00802E78"/>
    <w:rsid w:val="00803EAA"/>
    <w:rsid w:val="00803FAE"/>
    <w:rsid w:val="0080409E"/>
    <w:rsid w:val="00804745"/>
    <w:rsid w:val="0080481B"/>
    <w:rsid w:val="0080503E"/>
    <w:rsid w:val="00805290"/>
    <w:rsid w:val="0080573A"/>
    <w:rsid w:val="0080587D"/>
    <w:rsid w:val="0080605F"/>
    <w:rsid w:val="008060AD"/>
    <w:rsid w:val="00806774"/>
    <w:rsid w:val="00807786"/>
    <w:rsid w:val="00810C88"/>
    <w:rsid w:val="00811FCB"/>
    <w:rsid w:val="00812E15"/>
    <w:rsid w:val="00812FA4"/>
    <w:rsid w:val="008130E1"/>
    <w:rsid w:val="008130F9"/>
    <w:rsid w:val="008132E5"/>
    <w:rsid w:val="00813436"/>
    <w:rsid w:val="008146E5"/>
    <w:rsid w:val="00815273"/>
    <w:rsid w:val="00815659"/>
    <w:rsid w:val="008158D6"/>
    <w:rsid w:val="0081605E"/>
    <w:rsid w:val="008161F8"/>
    <w:rsid w:val="00817196"/>
    <w:rsid w:val="00817A92"/>
    <w:rsid w:val="008204E5"/>
    <w:rsid w:val="00820834"/>
    <w:rsid w:val="00820A73"/>
    <w:rsid w:val="0082124D"/>
    <w:rsid w:val="00821DDA"/>
    <w:rsid w:val="00821EFC"/>
    <w:rsid w:val="00821F34"/>
    <w:rsid w:val="00822A3A"/>
    <w:rsid w:val="008235DB"/>
    <w:rsid w:val="00824319"/>
    <w:rsid w:val="00824AB4"/>
    <w:rsid w:val="00824B02"/>
    <w:rsid w:val="00825350"/>
    <w:rsid w:val="00825C42"/>
    <w:rsid w:val="00825D25"/>
    <w:rsid w:val="008265B7"/>
    <w:rsid w:val="0082755A"/>
    <w:rsid w:val="00827761"/>
    <w:rsid w:val="00827B4A"/>
    <w:rsid w:val="00827B85"/>
    <w:rsid w:val="00827D6F"/>
    <w:rsid w:val="00830058"/>
    <w:rsid w:val="008309A2"/>
    <w:rsid w:val="00831391"/>
    <w:rsid w:val="00831DFA"/>
    <w:rsid w:val="00832376"/>
    <w:rsid w:val="00832794"/>
    <w:rsid w:val="00832848"/>
    <w:rsid w:val="00832C4C"/>
    <w:rsid w:val="0083321F"/>
    <w:rsid w:val="00833DE0"/>
    <w:rsid w:val="008340F7"/>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77F"/>
    <w:rsid w:val="00841C42"/>
    <w:rsid w:val="00841D38"/>
    <w:rsid w:val="00842225"/>
    <w:rsid w:val="0084355A"/>
    <w:rsid w:val="00843DEA"/>
    <w:rsid w:val="0084436A"/>
    <w:rsid w:val="008443D3"/>
    <w:rsid w:val="008444E8"/>
    <w:rsid w:val="00844E80"/>
    <w:rsid w:val="00845A38"/>
    <w:rsid w:val="00845A39"/>
    <w:rsid w:val="00845B06"/>
    <w:rsid w:val="00846FE7"/>
    <w:rsid w:val="0084711A"/>
    <w:rsid w:val="00847424"/>
    <w:rsid w:val="00847574"/>
    <w:rsid w:val="0084761B"/>
    <w:rsid w:val="008477CD"/>
    <w:rsid w:val="00847870"/>
    <w:rsid w:val="008479B5"/>
    <w:rsid w:val="00847E30"/>
    <w:rsid w:val="00850CEC"/>
    <w:rsid w:val="0085173C"/>
    <w:rsid w:val="00851DEC"/>
    <w:rsid w:val="00852C9F"/>
    <w:rsid w:val="00854A60"/>
    <w:rsid w:val="00855072"/>
    <w:rsid w:val="00855B06"/>
    <w:rsid w:val="0085626F"/>
    <w:rsid w:val="00856911"/>
    <w:rsid w:val="00856917"/>
    <w:rsid w:val="00856B1D"/>
    <w:rsid w:val="00856BA4"/>
    <w:rsid w:val="00856E27"/>
    <w:rsid w:val="00857C3A"/>
    <w:rsid w:val="00857E8D"/>
    <w:rsid w:val="00857F60"/>
    <w:rsid w:val="008609E0"/>
    <w:rsid w:val="00862397"/>
    <w:rsid w:val="0086251D"/>
    <w:rsid w:val="0086325B"/>
    <w:rsid w:val="00863435"/>
    <w:rsid w:val="00863F02"/>
    <w:rsid w:val="00863FBE"/>
    <w:rsid w:val="00864558"/>
    <w:rsid w:val="00865A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1BE"/>
    <w:rsid w:val="0087287E"/>
    <w:rsid w:val="008736CA"/>
    <w:rsid w:val="00873732"/>
    <w:rsid w:val="00873D37"/>
    <w:rsid w:val="00873F28"/>
    <w:rsid w:val="0087429E"/>
    <w:rsid w:val="00874312"/>
    <w:rsid w:val="0087437C"/>
    <w:rsid w:val="00874625"/>
    <w:rsid w:val="00874816"/>
    <w:rsid w:val="00875032"/>
    <w:rsid w:val="00875CD7"/>
    <w:rsid w:val="00875E97"/>
    <w:rsid w:val="0087621E"/>
    <w:rsid w:val="008763F0"/>
    <w:rsid w:val="00876454"/>
    <w:rsid w:val="00876466"/>
    <w:rsid w:val="0087675B"/>
    <w:rsid w:val="00876848"/>
    <w:rsid w:val="00876B4D"/>
    <w:rsid w:val="00876C7B"/>
    <w:rsid w:val="0087707E"/>
    <w:rsid w:val="00877265"/>
    <w:rsid w:val="00877645"/>
    <w:rsid w:val="00877944"/>
    <w:rsid w:val="00877D05"/>
    <w:rsid w:val="00877DB2"/>
    <w:rsid w:val="00877EF3"/>
    <w:rsid w:val="00877F18"/>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7B9F"/>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85C"/>
    <w:rsid w:val="008A1C20"/>
    <w:rsid w:val="008A21F2"/>
    <w:rsid w:val="008A21FF"/>
    <w:rsid w:val="008A2657"/>
    <w:rsid w:val="008A2857"/>
    <w:rsid w:val="008A2CE2"/>
    <w:rsid w:val="008A30AC"/>
    <w:rsid w:val="008A3282"/>
    <w:rsid w:val="008A4052"/>
    <w:rsid w:val="008A44B8"/>
    <w:rsid w:val="008A467D"/>
    <w:rsid w:val="008A4C42"/>
    <w:rsid w:val="008A5094"/>
    <w:rsid w:val="008A51A8"/>
    <w:rsid w:val="008A5206"/>
    <w:rsid w:val="008A54C7"/>
    <w:rsid w:val="008A61A8"/>
    <w:rsid w:val="008A6602"/>
    <w:rsid w:val="008A6828"/>
    <w:rsid w:val="008A688C"/>
    <w:rsid w:val="008A6EFE"/>
    <w:rsid w:val="008A7415"/>
    <w:rsid w:val="008A77D8"/>
    <w:rsid w:val="008A781B"/>
    <w:rsid w:val="008A7B95"/>
    <w:rsid w:val="008A7F00"/>
    <w:rsid w:val="008A7FB0"/>
    <w:rsid w:val="008A7FFA"/>
    <w:rsid w:val="008B0483"/>
    <w:rsid w:val="008B120C"/>
    <w:rsid w:val="008B1B00"/>
    <w:rsid w:val="008B1C36"/>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6C3C"/>
    <w:rsid w:val="008B70F0"/>
    <w:rsid w:val="008B7155"/>
    <w:rsid w:val="008B7B5C"/>
    <w:rsid w:val="008B7D6F"/>
    <w:rsid w:val="008C019F"/>
    <w:rsid w:val="008C0613"/>
    <w:rsid w:val="008C0C99"/>
    <w:rsid w:val="008C1588"/>
    <w:rsid w:val="008C16F3"/>
    <w:rsid w:val="008C18D4"/>
    <w:rsid w:val="008C2017"/>
    <w:rsid w:val="008C256E"/>
    <w:rsid w:val="008C2AA7"/>
    <w:rsid w:val="008C32E9"/>
    <w:rsid w:val="008C38C7"/>
    <w:rsid w:val="008C3E7B"/>
    <w:rsid w:val="008C42F8"/>
    <w:rsid w:val="008C43CC"/>
    <w:rsid w:val="008C45E3"/>
    <w:rsid w:val="008C4621"/>
    <w:rsid w:val="008C4958"/>
    <w:rsid w:val="008C4BAA"/>
    <w:rsid w:val="008C4C64"/>
    <w:rsid w:val="008C4F11"/>
    <w:rsid w:val="008C55AE"/>
    <w:rsid w:val="008C6245"/>
    <w:rsid w:val="008C63CD"/>
    <w:rsid w:val="008C6AE8"/>
    <w:rsid w:val="008C6D30"/>
    <w:rsid w:val="008C6DCD"/>
    <w:rsid w:val="008C7573"/>
    <w:rsid w:val="008D06CC"/>
    <w:rsid w:val="008D0A60"/>
    <w:rsid w:val="008D0C67"/>
    <w:rsid w:val="008D17F8"/>
    <w:rsid w:val="008D1BE9"/>
    <w:rsid w:val="008D2874"/>
    <w:rsid w:val="008D2888"/>
    <w:rsid w:val="008D2EF8"/>
    <w:rsid w:val="008D337A"/>
    <w:rsid w:val="008D3477"/>
    <w:rsid w:val="008D34F1"/>
    <w:rsid w:val="008D395B"/>
    <w:rsid w:val="008D39D8"/>
    <w:rsid w:val="008D4448"/>
    <w:rsid w:val="008D4B3C"/>
    <w:rsid w:val="008D4BF2"/>
    <w:rsid w:val="008D500F"/>
    <w:rsid w:val="008D511F"/>
    <w:rsid w:val="008D5539"/>
    <w:rsid w:val="008D57F4"/>
    <w:rsid w:val="008D5CCD"/>
    <w:rsid w:val="008D634F"/>
    <w:rsid w:val="008D635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3FB3"/>
    <w:rsid w:val="008E42B0"/>
    <w:rsid w:val="008E482B"/>
    <w:rsid w:val="008E4912"/>
    <w:rsid w:val="008E4CA5"/>
    <w:rsid w:val="008E53BA"/>
    <w:rsid w:val="008E5FD1"/>
    <w:rsid w:val="008E60DD"/>
    <w:rsid w:val="008E6605"/>
    <w:rsid w:val="008F10E9"/>
    <w:rsid w:val="008F1A19"/>
    <w:rsid w:val="008F1C35"/>
    <w:rsid w:val="008F1CF9"/>
    <w:rsid w:val="008F1D4D"/>
    <w:rsid w:val="008F1EAB"/>
    <w:rsid w:val="008F203D"/>
    <w:rsid w:val="008F2165"/>
    <w:rsid w:val="008F290F"/>
    <w:rsid w:val="008F32C3"/>
    <w:rsid w:val="008F33DC"/>
    <w:rsid w:val="008F3989"/>
    <w:rsid w:val="008F3DA0"/>
    <w:rsid w:val="008F45A9"/>
    <w:rsid w:val="008F477F"/>
    <w:rsid w:val="008F4C65"/>
    <w:rsid w:val="008F6780"/>
    <w:rsid w:val="008F681B"/>
    <w:rsid w:val="008F6FD2"/>
    <w:rsid w:val="008F7374"/>
    <w:rsid w:val="008F7773"/>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6939"/>
    <w:rsid w:val="009069F6"/>
    <w:rsid w:val="009075DE"/>
    <w:rsid w:val="0091019E"/>
    <w:rsid w:val="00910B7D"/>
    <w:rsid w:val="00910D60"/>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796"/>
    <w:rsid w:val="00922B0A"/>
    <w:rsid w:val="00922B4B"/>
    <w:rsid w:val="00922B9C"/>
    <w:rsid w:val="00922DE7"/>
    <w:rsid w:val="0092357C"/>
    <w:rsid w:val="0092449D"/>
    <w:rsid w:val="009245BB"/>
    <w:rsid w:val="00925110"/>
    <w:rsid w:val="00927868"/>
    <w:rsid w:val="009279D3"/>
    <w:rsid w:val="00927B3F"/>
    <w:rsid w:val="00930CCF"/>
    <w:rsid w:val="00930E68"/>
    <w:rsid w:val="00931148"/>
    <w:rsid w:val="0093117F"/>
    <w:rsid w:val="009316B4"/>
    <w:rsid w:val="00931AFB"/>
    <w:rsid w:val="00931BD9"/>
    <w:rsid w:val="00932D0C"/>
    <w:rsid w:val="009335EE"/>
    <w:rsid w:val="009336BF"/>
    <w:rsid w:val="00933CC1"/>
    <w:rsid w:val="00936731"/>
    <w:rsid w:val="009368F3"/>
    <w:rsid w:val="00936EA7"/>
    <w:rsid w:val="009376B5"/>
    <w:rsid w:val="009376C1"/>
    <w:rsid w:val="00937DFF"/>
    <w:rsid w:val="00940E12"/>
    <w:rsid w:val="009411FC"/>
    <w:rsid w:val="00941636"/>
    <w:rsid w:val="00941B38"/>
    <w:rsid w:val="00941D93"/>
    <w:rsid w:val="009424D7"/>
    <w:rsid w:val="00943414"/>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1554"/>
    <w:rsid w:val="0095209A"/>
    <w:rsid w:val="0095226F"/>
    <w:rsid w:val="00952F71"/>
    <w:rsid w:val="009533E3"/>
    <w:rsid w:val="00953454"/>
    <w:rsid w:val="00953920"/>
    <w:rsid w:val="00953D47"/>
    <w:rsid w:val="0095403A"/>
    <w:rsid w:val="00954CC0"/>
    <w:rsid w:val="00954F4F"/>
    <w:rsid w:val="00955BA3"/>
    <w:rsid w:val="0095681E"/>
    <w:rsid w:val="00956EFA"/>
    <w:rsid w:val="009572D4"/>
    <w:rsid w:val="0095766C"/>
    <w:rsid w:val="009605EB"/>
    <w:rsid w:val="00960696"/>
    <w:rsid w:val="0096104E"/>
    <w:rsid w:val="0096139B"/>
    <w:rsid w:val="009613CD"/>
    <w:rsid w:val="009616F9"/>
    <w:rsid w:val="0096178B"/>
    <w:rsid w:val="00961921"/>
    <w:rsid w:val="00961D6E"/>
    <w:rsid w:val="00962DAC"/>
    <w:rsid w:val="00962EB9"/>
    <w:rsid w:val="00963322"/>
    <w:rsid w:val="00963438"/>
    <w:rsid w:val="0096349B"/>
    <w:rsid w:val="00963E2F"/>
    <w:rsid w:val="0096430A"/>
    <w:rsid w:val="00964FF6"/>
    <w:rsid w:val="0096554B"/>
    <w:rsid w:val="0096584A"/>
    <w:rsid w:val="00965E04"/>
    <w:rsid w:val="0096628C"/>
    <w:rsid w:val="00966B20"/>
    <w:rsid w:val="00966BAB"/>
    <w:rsid w:val="00966FD1"/>
    <w:rsid w:val="00966FDF"/>
    <w:rsid w:val="0096725B"/>
    <w:rsid w:val="0096741E"/>
    <w:rsid w:val="00967F33"/>
    <w:rsid w:val="009706AD"/>
    <w:rsid w:val="00970A40"/>
    <w:rsid w:val="00970E55"/>
    <w:rsid w:val="0097130C"/>
    <w:rsid w:val="00971F08"/>
    <w:rsid w:val="00972FEF"/>
    <w:rsid w:val="00974723"/>
    <w:rsid w:val="00974CFE"/>
    <w:rsid w:val="00974F23"/>
    <w:rsid w:val="00975788"/>
    <w:rsid w:val="009759C5"/>
    <w:rsid w:val="00975F00"/>
    <w:rsid w:val="0097602E"/>
    <w:rsid w:val="0097603D"/>
    <w:rsid w:val="009764B4"/>
    <w:rsid w:val="00976949"/>
    <w:rsid w:val="0097698A"/>
    <w:rsid w:val="00976A48"/>
    <w:rsid w:val="00976C4B"/>
    <w:rsid w:val="00976F19"/>
    <w:rsid w:val="00977763"/>
    <w:rsid w:val="00977EA1"/>
    <w:rsid w:val="00980477"/>
    <w:rsid w:val="0098075D"/>
    <w:rsid w:val="0098159B"/>
    <w:rsid w:val="009818B3"/>
    <w:rsid w:val="00981B5D"/>
    <w:rsid w:val="009820FD"/>
    <w:rsid w:val="00982E8E"/>
    <w:rsid w:val="009834A9"/>
    <w:rsid w:val="00983B4E"/>
    <w:rsid w:val="0098420B"/>
    <w:rsid w:val="00984676"/>
    <w:rsid w:val="00984B75"/>
    <w:rsid w:val="00984D3E"/>
    <w:rsid w:val="009851A6"/>
    <w:rsid w:val="00985253"/>
    <w:rsid w:val="009853B3"/>
    <w:rsid w:val="009857C7"/>
    <w:rsid w:val="00986322"/>
    <w:rsid w:val="00986A07"/>
    <w:rsid w:val="00986F9F"/>
    <w:rsid w:val="009872A9"/>
    <w:rsid w:val="009877C3"/>
    <w:rsid w:val="0098796A"/>
    <w:rsid w:val="00987D72"/>
    <w:rsid w:val="009902EF"/>
    <w:rsid w:val="009904BB"/>
    <w:rsid w:val="00990630"/>
    <w:rsid w:val="00991007"/>
    <w:rsid w:val="00991605"/>
    <w:rsid w:val="00991761"/>
    <w:rsid w:val="00991870"/>
    <w:rsid w:val="00991887"/>
    <w:rsid w:val="00991ADE"/>
    <w:rsid w:val="00991BE8"/>
    <w:rsid w:val="009924E3"/>
    <w:rsid w:val="00992516"/>
    <w:rsid w:val="0099299D"/>
    <w:rsid w:val="009929BE"/>
    <w:rsid w:val="00993049"/>
    <w:rsid w:val="009931A8"/>
    <w:rsid w:val="00994845"/>
    <w:rsid w:val="0099487F"/>
    <w:rsid w:val="00994DCA"/>
    <w:rsid w:val="00995DBD"/>
    <w:rsid w:val="009960EC"/>
    <w:rsid w:val="0099644A"/>
    <w:rsid w:val="009966EE"/>
    <w:rsid w:val="00996B44"/>
    <w:rsid w:val="00996D62"/>
    <w:rsid w:val="00996ED7"/>
    <w:rsid w:val="009970DD"/>
    <w:rsid w:val="009977B1"/>
    <w:rsid w:val="00997ADB"/>
    <w:rsid w:val="00997BF9"/>
    <w:rsid w:val="009A0442"/>
    <w:rsid w:val="009A0927"/>
    <w:rsid w:val="009A0FBA"/>
    <w:rsid w:val="009A13E6"/>
    <w:rsid w:val="009A1601"/>
    <w:rsid w:val="009A16C2"/>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2EF"/>
    <w:rsid w:val="009B064B"/>
    <w:rsid w:val="009B0B48"/>
    <w:rsid w:val="009B0C1D"/>
    <w:rsid w:val="009B0E46"/>
    <w:rsid w:val="009B1D7F"/>
    <w:rsid w:val="009B1F30"/>
    <w:rsid w:val="009B2F4F"/>
    <w:rsid w:val="009B3757"/>
    <w:rsid w:val="009B3AC2"/>
    <w:rsid w:val="009B43DF"/>
    <w:rsid w:val="009B49F1"/>
    <w:rsid w:val="009B4DF4"/>
    <w:rsid w:val="009B511E"/>
    <w:rsid w:val="009B5283"/>
    <w:rsid w:val="009B535B"/>
    <w:rsid w:val="009B564E"/>
    <w:rsid w:val="009B5B37"/>
    <w:rsid w:val="009B655E"/>
    <w:rsid w:val="009B6F98"/>
    <w:rsid w:val="009B7276"/>
    <w:rsid w:val="009B7E87"/>
    <w:rsid w:val="009C01C0"/>
    <w:rsid w:val="009C04BA"/>
    <w:rsid w:val="009C053F"/>
    <w:rsid w:val="009C0B53"/>
    <w:rsid w:val="009C1312"/>
    <w:rsid w:val="009C1399"/>
    <w:rsid w:val="009C148B"/>
    <w:rsid w:val="009C1B3E"/>
    <w:rsid w:val="009C1FEB"/>
    <w:rsid w:val="009C2545"/>
    <w:rsid w:val="009C25ED"/>
    <w:rsid w:val="009C3102"/>
    <w:rsid w:val="009C3148"/>
    <w:rsid w:val="009C3480"/>
    <w:rsid w:val="009C380D"/>
    <w:rsid w:val="009C403E"/>
    <w:rsid w:val="009C491D"/>
    <w:rsid w:val="009C4D4C"/>
    <w:rsid w:val="009C5296"/>
    <w:rsid w:val="009C5A97"/>
    <w:rsid w:val="009C5E38"/>
    <w:rsid w:val="009C6D92"/>
    <w:rsid w:val="009C7790"/>
    <w:rsid w:val="009C79A4"/>
    <w:rsid w:val="009C7A5B"/>
    <w:rsid w:val="009C7EF7"/>
    <w:rsid w:val="009D038A"/>
    <w:rsid w:val="009D0509"/>
    <w:rsid w:val="009D0B6D"/>
    <w:rsid w:val="009D0EB4"/>
    <w:rsid w:val="009D0FEC"/>
    <w:rsid w:val="009D189F"/>
    <w:rsid w:val="009D1A0A"/>
    <w:rsid w:val="009D1E0C"/>
    <w:rsid w:val="009D22A0"/>
    <w:rsid w:val="009D249B"/>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5D3"/>
    <w:rsid w:val="009D7848"/>
    <w:rsid w:val="009D7997"/>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3E42"/>
    <w:rsid w:val="009E4342"/>
    <w:rsid w:val="009E47A3"/>
    <w:rsid w:val="009E4897"/>
    <w:rsid w:val="009E4B86"/>
    <w:rsid w:val="009E54B2"/>
    <w:rsid w:val="009E55B1"/>
    <w:rsid w:val="009E5CF5"/>
    <w:rsid w:val="009E61F3"/>
    <w:rsid w:val="009E78E7"/>
    <w:rsid w:val="009E7AC7"/>
    <w:rsid w:val="009E7E2D"/>
    <w:rsid w:val="009F08F3"/>
    <w:rsid w:val="009F0EBC"/>
    <w:rsid w:val="009F0F28"/>
    <w:rsid w:val="009F1A60"/>
    <w:rsid w:val="009F2069"/>
    <w:rsid w:val="009F2CBD"/>
    <w:rsid w:val="009F344F"/>
    <w:rsid w:val="009F390C"/>
    <w:rsid w:val="009F427D"/>
    <w:rsid w:val="009F4404"/>
    <w:rsid w:val="009F4517"/>
    <w:rsid w:val="009F4B63"/>
    <w:rsid w:val="009F5E13"/>
    <w:rsid w:val="009F5E2F"/>
    <w:rsid w:val="009F5EAE"/>
    <w:rsid w:val="009F636A"/>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94B"/>
    <w:rsid w:val="00A10999"/>
    <w:rsid w:val="00A10C66"/>
    <w:rsid w:val="00A1106B"/>
    <w:rsid w:val="00A113F6"/>
    <w:rsid w:val="00A11AE0"/>
    <w:rsid w:val="00A12C38"/>
    <w:rsid w:val="00A13036"/>
    <w:rsid w:val="00A13E54"/>
    <w:rsid w:val="00A14582"/>
    <w:rsid w:val="00A14B72"/>
    <w:rsid w:val="00A14BA4"/>
    <w:rsid w:val="00A14F16"/>
    <w:rsid w:val="00A14F4E"/>
    <w:rsid w:val="00A15C12"/>
    <w:rsid w:val="00A1673D"/>
    <w:rsid w:val="00A16AF3"/>
    <w:rsid w:val="00A16CCA"/>
    <w:rsid w:val="00A171D3"/>
    <w:rsid w:val="00A17EBF"/>
    <w:rsid w:val="00A17F63"/>
    <w:rsid w:val="00A20061"/>
    <w:rsid w:val="00A20373"/>
    <w:rsid w:val="00A20379"/>
    <w:rsid w:val="00A20E07"/>
    <w:rsid w:val="00A21369"/>
    <w:rsid w:val="00A2193B"/>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81"/>
    <w:rsid w:val="00A264A9"/>
    <w:rsid w:val="00A26879"/>
    <w:rsid w:val="00A268DF"/>
    <w:rsid w:val="00A26CC9"/>
    <w:rsid w:val="00A26CF6"/>
    <w:rsid w:val="00A26D56"/>
    <w:rsid w:val="00A27785"/>
    <w:rsid w:val="00A27829"/>
    <w:rsid w:val="00A2793B"/>
    <w:rsid w:val="00A30187"/>
    <w:rsid w:val="00A304D1"/>
    <w:rsid w:val="00A30775"/>
    <w:rsid w:val="00A309AA"/>
    <w:rsid w:val="00A30D80"/>
    <w:rsid w:val="00A310AE"/>
    <w:rsid w:val="00A3175E"/>
    <w:rsid w:val="00A32084"/>
    <w:rsid w:val="00A323E2"/>
    <w:rsid w:val="00A3243E"/>
    <w:rsid w:val="00A324EA"/>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78E"/>
    <w:rsid w:val="00A44A9C"/>
    <w:rsid w:val="00A45639"/>
    <w:rsid w:val="00A45B74"/>
    <w:rsid w:val="00A45C97"/>
    <w:rsid w:val="00A47931"/>
    <w:rsid w:val="00A47ECC"/>
    <w:rsid w:val="00A5014C"/>
    <w:rsid w:val="00A50307"/>
    <w:rsid w:val="00A5094F"/>
    <w:rsid w:val="00A50986"/>
    <w:rsid w:val="00A50B92"/>
    <w:rsid w:val="00A50D8F"/>
    <w:rsid w:val="00A50F47"/>
    <w:rsid w:val="00A51E0C"/>
    <w:rsid w:val="00A5212C"/>
    <w:rsid w:val="00A52210"/>
    <w:rsid w:val="00A5266E"/>
    <w:rsid w:val="00A52C03"/>
    <w:rsid w:val="00A52DB3"/>
    <w:rsid w:val="00A52E1D"/>
    <w:rsid w:val="00A5358E"/>
    <w:rsid w:val="00A53BD7"/>
    <w:rsid w:val="00A54279"/>
    <w:rsid w:val="00A5440F"/>
    <w:rsid w:val="00A54432"/>
    <w:rsid w:val="00A54D8D"/>
    <w:rsid w:val="00A55B22"/>
    <w:rsid w:val="00A55B28"/>
    <w:rsid w:val="00A5629A"/>
    <w:rsid w:val="00A56798"/>
    <w:rsid w:val="00A56FE3"/>
    <w:rsid w:val="00A57977"/>
    <w:rsid w:val="00A6068D"/>
    <w:rsid w:val="00A60896"/>
    <w:rsid w:val="00A609F0"/>
    <w:rsid w:val="00A60B8E"/>
    <w:rsid w:val="00A61499"/>
    <w:rsid w:val="00A614AE"/>
    <w:rsid w:val="00A623AD"/>
    <w:rsid w:val="00A62561"/>
    <w:rsid w:val="00A62913"/>
    <w:rsid w:val="00A62A77"/>
    <w:rsid w:val="00A62A8F"/>
    <w:rsid w:val="00A62DD4"/>
    <w:rsid w:val="00A633B3"/>
    <w:rsid w:val="00A63483"/>
    <w:rsid w:val="00A634A9"/>
    <w:rsid w:val="00A63BEA"/>
    <w:rsid w:val="00A644CA"/>
    <w:rsid w:val="00A648C1"/>
    <w:rsid w:val="00A64A69"/>
    <w:rsid w:val="00A6529E"/>
    <w:rsid w:val="00A6576F"/>
    <w:rsid w:val="00A657D7"/>
    <w:rsid w:val="00A65CE1"/>
    <w:rsid w:val="00A65E06"/>
    <w:rsid w:val="00A6609F"/>
    <w:rsid w:val="00A660AC"/>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138"/>
    <w:rsid w:val="00A90BC1"/>
    <w:rsid w:val="00A90CFA"/>
    <w:rsid w:val="00A910A2"/>
    <w:rsid w:val="00A91516"/>
    <w:rsid w:val="00A9170B"/>
    <w:rsid w:val="00A91F1F"/>
    <w:rsid w:val="00A9231D"/>
    <w:rsid w:val="00A924A6"/>
    <w:rsid w:val="00A92879"/>
    <w:rsid w:val="00A93357"/>
    <w:rsid w:val="00A93E4E"/>
    <w:rsid w:val="00A9442A"/>
    <w:rsid w:val="00A94B28"/>
    <w:rsid w:val="00A94B9D"/>
    <w:rsid w:val="00A951DB"/>
    <w:rsid w:val="00A952DB"/>
    <w:rsid w:val="00A956B7"/>
    <w:rsid w:val="00A956F8"/>
    <w:rsid w:val="00A95963"/>
    <w:rsid w:val="00A95CD7"/>
    <w:rsid w:val="00A965DB"/>
    <w:rsid w:val="00A97C97"/>
    <w:rsid w:val="00A97F16"/>
    <w:rsid w:val="00AA016F"/>
    <w:rsid w:val="00AA0496"/>
    <w:rsid w:val="00AA0F66"/>
    <w:rsid w:val="00AA0FCD"/>
    <w:rsid w:val="00AA16A7"/>
    <w:rsid w:val="00AA1A9D"/>
    <w:rsid w:val="00AA1ED6"/>
    <w:rsid w:val="00AA20D0"/>
    <w:rsid w:val="00AA2C82"/>
    <w:rsid w:val="00AA330A"/>
    <w:rsid w:val="00AA33C1"/>
    <w:rsid w:val="00AA35D8"/>
    <w:rsid w:val="00AA361D"/>
    <w:rsid w:val="00AA43F2"/>
    <w:rsid w:val="00AA51D6"/>
    <w:rsid w:val="00AA5A4B"/>
    <w:rsid w:val="00AA6B03"/>
    <w:rsid w:val="00AA6DE4"/>
    <w:rsid w:val="00AB028A"/>
    <w:rsid w:val="00AB03C6"/>
    <w:rsid w:val="00AB08B1"/>
    <w:rsid w:val="00AB0BC8"/>
    <w:rsid w:val="00AB0DE4"/>
    <w:rsid w:val="00AB11CA"/>
    <w:rsid w:val="00AB1303"/>
    <w:rsid w:val="00AB14D9"/>
    <w:rsid w:val="00AB1F9E"/>
    <w:rsid w:val="00AB2419"/>
    <w:rsid w:val="00AB2F6B"/>
    <w:rsid w:val="00AB34CD"/>
    <w:rsid w:val="00AB37AA"/>
    <w:rsid w:val="00AB3938"/>
    <w:rsid w:val="00AB3A48"/>
    <w:rsid w:val="00AB3F33"/>
    <w:rsid w:val="00AB4AB8"/>
    <w:rsid w:val="00AB4AF9"/>
    <w:rsid w:val="00AB5060"/>
    <w:rsid w:val="00AB61A4"/>
    <w:rsid w:val="00AB61E3"/>
    <w:rsid w:val="00AB655E"/>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5ECB"/>
    <w:rsid w:val="00AC675A"/>
    <w:rsid w:val="00AC681E"/>
    <w:rsid w:val="00AC6CC7"/>
    <w:rsid w:val="00AC733C"/>
    <w:rsid w:val="00AC7B22"/>
    <w:rsid w:val="00AD00BB"/>
    <w:rsid w:val="00AD085C"/>
    <w:rsid w:val="00AD0AA3"/>
    <w:rsid w:val="00AD122E"/>
    <w:rsid w:val="00AD20C4"/>
    <w:rsid w:val="00AD22F9"/>
    <w:rsid w:val="00AD236B"/>
    <w:rsid w:val="00AD2894"/>
    <w:rsid w:val="00AD2C54"/>
    <w:rsid w:val="00AD30AA"/>
    <w:rsid w:val="00AD3246"/>
    <w:rsid w:val="00AD3743"/>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675"/>
    <w:rsid w:val="00AE6E02"/>
    <w:rsid w:val="00AE726B"/>
    <w:rsid w:val="00AE743A"/>
    <w:rsid w:val="00AF08CA"/>
    <w:rsid w:val="00AF115A"/>
    <w:rsid w:val="00AF1C5D"/>
    <w:rsid w:val="00AF1CCC"/>
    <w:rsid w:val="00AF1D90"/>
    <w:rsid w:val="00AF25D5"/>
    <w:rsid w:val="00AF2DE7"/>
    <w:rsid w:val="00AF2F96"/>
    <w:rsid w:val="00AF345A"/>
    <w:rsid w:val="00AF3629"/>
    <w:rsid w:val="00AF3740"/>
    <w:rsid w:val="00AF3AF2"/>
    <w:rsid w:val="00AF3D10"/>
    <w:rsid w:val="00AF41DA"/>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D3C"/>
    <w:rsid w:val="00B05E95"/>
    <w:rsid w:val="00B0737B"/>
    <w:rsid w:val="00B07961"/>
    <w:rsid w:val="00B07EBA"/>
    <w:rsid w:val="00B100B9"/>
    <w:rsid w:val="00B1052A"/>
    <w:rsid w:val="00B105F6"/>
    <w:rsid w:val="00B123E7"/>
    <w:rsid w:val="00B125F7"/>
    <w:rsid w:val="00B139E0"/>
    <w:rsid w:val="00B13E74"/>
    <w:rsid w:val="00B1469E"/>
    <w:rsid w:val="00B152F4"/>
    <w:rsid w:val="00B1542D"/>
    <w:rsid w:val="00B157F9"/>
    <w:rsid w:val="00B15F66"/>
    <w:rsid w:val="00B16272"/>
    <w:rsid w:val="00B1677C"/>
    <w:rsid w:val="00B167F1"/>
    <w:rsid w:val="00B16FFF"/>
    <w:rsid w:val="00B17033"/>
    <w:rsid w:val="00B17436"/>
    <w:rsid w:val="00B17511"/>
    <w:rsid w:val="00B176C4"/>
    <w:rsid w:val="00B20256"/>
    <w:rsid w:val="00B206C1"/>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486"/>
    <w:rsid w:val="00B37BC6"/>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03B"/>
    <w:rsid w:val="00B50565"/>
    <w:rsid w:val="00B50B57"/>
    <w:rsid w:val="00B50C4B"/>
    <w:rsid w:val="00B51602"/>
    <w:rsid w:val="00B51FEE"/>
    <w:rsid w:val="00B52A53"/>
    <w:rsid w:val="00B52A99"/>
    <w:rsid w:val="00B52D7F"/>
    <w:rsid w:val="00B52D8B"/>
    <w:rsid w:val="00B53188"/>
    <w:rsid w:val="00B533B6"/>
    <w:rsid w:val="00B53ED8"/>
    <w:rsid w:val="00B5442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1325"/>
    <w:rsid w:val="00B62195"/>
    <w:rsid w:val="00B626E7"/>
    <w:rsid w:val="00B62AAA"/>
    <w:rsid w:val="00B62B11"/>
    <w:rsid w:val="00B63534"/>
    <w:rsid w:val="00B6366E"/>
    <w:rsid w:val="00B636C0"/>
    <w:rsid w:val="00B64259"/>
    <w:rsid w:val="00B6515D"/>
    <w:rsid w:val="00B651F0"/>
    <w:rsid w:val="00B6553E"/>
    <w:rsid w:val="00B658B9"/>
    <w:rsid w:val="00B659E4"/>
    <w:rsid w:val="00B66345"/>
    <w:rsid w:val="00B664C7"/>
    <w:rsid w:val="00B669B8"/>
    <w:rsid w:val="00B66DDE"/>
    <w:rsid w:val="00B671BB"/>
    <w:rsid w:val="00B70733"/>
    <w:rsid w:val="00B716B4"/>
    <w:rsid w:val="00B7328B"/>
    <w:rsid w:val="00B734DA"/>
    <w:rsid w:val="00B738C8"/>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BF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91A"/>
    <w:rsid w:val="00BA3F6C"/>
    <w:rsid w:val="00BA47B3"/>
    <w:rsid w:val="00BA49CB"/>
    <w:rsid w:val="00BA4AAB"/>
    <w:rsid w:val="00BA4F1E"/>
    <w:rsid w:val="00BA56D2"/>
    <w:rsid w:val="00BA592D"/>
    <w:rsid w:val="00BA5E1B"/>
    <w:rsid w:val="00BA67D4"/>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D2E"/>
    <w:rsid w:val="00BC5438"/>
    <w:rsid w:val="00BC57B1"/>
    <w:rsid w:val="00BC5D1C"/>
    <w:rsid w:val="00BC6A41"/>
    <w:rsid w:val="00BC6BB5"/>
    <w:rsid w:val="00BC6BC1"/>
    <w:rsid w:val="00BC6F3D"/>
    <w:rsid w:val="00BC7044"/>
    <w:rsid w:val="00BD0084"/>
    <w:rsid w:val="00BD1169"/>
    <w:rsid w:val="00BD1823"/>
    <w:rsid w:val="00BD18B8"/>
    <w:rsid w:val="00BD1AA5"/>
    <w:rsid w:val="00BD27AF"/>
    <w:rsid w:val="00BD371C"/>
    <w:rsid w:val="00BD3883"/>
    <w:rsid w:val="00BD48AC"/>
    <w:rsid w:val="00BD4CDD"/>
    <w:rsid w:val="00BD4FA5"/>
    <w:rsid w:val="00BD5F1A"/>
    <w:rsid w:val="00BD619F"/>
    <w:rsid w:val="00BD6C0A"/>
    <w:rsid w:val="00BD721C"/>
    <w:rsid w:val="00BD758E"/>
    <w:rsid w:val="00BD7A8B"/>
    <w:rsid w:val="00BD7F16"/>
    <w:rsid w:val="00BE05A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6536"/>
    <w:rsid w:val="00BE7406"/>
    <w:rsid w:val="00BE757B"/>
    <w:rsid w:val="00BE7603"/>
    <w:rsid w:val="00BE7B66"/>
    <w:rsid w:val="00BE7BDE"/>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AB0"/>
    <w:rsid w:val="00BF4D66"/>
    <w:rsid w:val="00BF4F23"/>
    <w:rsid w:val="00BF5872"/>
    <w:rsid w:val="00BF5CF6"/>
    <w:rsid w:val="00BF6036"/>
    <w:rsid w:val="00BF611E"/>
    <w:rsid w:val="00BF64D6"/>
    <w:rsid w:val="00BF6582"/>
    <w:rsid w:val="00BF71A6"/>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CC6"/>
    <w:rsid w:val="00C02EF8"/>
    <w:rsid w:val="00C032FC"/>
    <w:rsid w:val="00C040F7"/>
    <w:rsid w:val="00C041B0"/>
    <w:rsid w:val="00C04374"/>
    <w:rsid w:val="00C04475"/>
    <w:rsid w:val="00C044AB"/>
    <w:rsid w:val="00C04917"/>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00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038"/>
    <w:rsid w:val="00C2471F"/>
    <w:rsid w:val="00C24E68"/>
    <w:rsid w:val="00C2564C"/>
    <w:rsid w:val="00C25DF9"/>
    <w:rsid w:val="00C26005"/>
    <w:rsid w:val="00C2656B"/>
    <w:rsid w:val="00C26FAA"/>
    <w:rsid w:val="00C27186"/>
    <w:rsid w:val="00C279B5"/>
    <w:rsid w:val="00C27BD2"/>
    <w:rsid w:val="00C27C45"/>
    <w:rsid w:val="00C30691"/>
    <w:rsid w:val="00C30833"/>
    <w:rsid w:val="00C30F0B"/>
    <w:rsid w:val="00C31470"/>
    <w:rsid w:val="00C34093"/>
    <w:rsid w:val="00C340D7"/>
    <w:rsid w:val="00C3463C"/>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063"/>
    <w:rsid w:val="00C46240"/>
    <w:rsid w:val="00C4651C"/>
    <w:rsid w:val="00C471BE"/>
    <w:rsid w:val="00C47927"/>
    <w:rsid w:val="00C4799A"/>
    <w:rsid w:val="00C47E8C"/>
    <w:rsid w:val="00C504D0"/>
    <w:rsid w:val="00C509AE"/>
    <w:rsid w:val="00C50F43"/>
    <w:rsid w:val="00C51103"/>
    <w:rsid w:val="00C519C4"/>
    <w:rsid w:val="00C51BF6"/>
    <w:rsid w:val="00C525C1"/>
    <w:rsid w:val="00C52DC6"/>
    <w:rsid w:val="00C52FEE"/>
    <w:rsid w:val="00C532F3"/>
    <w:rsid w:val="00C53624"/>
    <w:rsid w:val="00C53871"/>
    <w:rsid w:val="00C53ABB"/>
    <w:rsid w:val="00C53FE3"/>
    <w:rsid w:val="00C547EA"/>
    <w:rsid w:val="00C54995"/>
    <w:rsid w:val="00C54BC9"/>
    <w:rsid w:val="00C54D41"/>
    <w:rsid w:val="00C5517F"/>
    <w:rsid w:val="00C553FB"/>
    <w:rsid w:val="00C5565A"/>
    <w:rsid w:val="00C5572E"/>
    <w:rsid w:val="00C55CFC"/>
    <w:rsid w:val="00C562AC"/>
    <w:rsid w:val="00C57D72"/>
    <w:rsid w:val="00C57EF3"/>
    <w:rsid w:val="00C60298"/>
    <w:rsid w:val="00C603E2"/>
    <w:rsid w:val="00C60783"/>
    <w:rsid w:val="00C609B6"/>
    <w:rsid w:val="00C613C5"/>
    <w:rsid w:val="00C6151A"/>
    <w:rsid w:val="00C617F5"/>
    <w:rsid w:val="00C61990"/>
    <w:rsid w:val="00C61B4C"/>
    <w:rsid w:val="00C61FE8"/>
    <w:rsid w:val="00C6225F"/>
    <w:rsid w:val="00C627E4"/>
    <w:rsid w:val="00C62F23"/>
    <w:rsid w:val="00C63B6D"/>
    <w:rsid w:val="00C64433"/>
    <w:rsid w:val="00C64672"/>
    <w:rsid w:val="00C647B8"/>
    <w:rsid w:val="00C6484D"/>
    <w:rsid w:val="00C64BE5"/>
    <w:rsid w:val="00C6502D"/>
    <w:rsid w:val="00C65572"/>
    <w:rsid w:val="00C65C33"/>
    <w:rsid w:val="00C65CA3"/>
    <w:rsid w:val="00C65EFC"/>
    <w:rsid w:val="00C662E2"/>
    <w:rsid w:val="00C66E63"/>
    <w:rsid w:val="00C67803"/>
    <w:rsid w:val="00C67F10"/>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1ADB"/>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5F81"/>
    <w:rsid w:val="00C96D0C"/>
    <w:rsid w:val="00C97482"/>
    <w:rsid w:val="00C977D6"/>
    <w:rsid w:val="00C97924"/>
    <w:rsid w:val="00CA0169"/>
    <w:rsid w:val="00CA0487"/>
    <w:rsid w:val="00CA04B9"/>
    <w:rsid w:val="00CA0EBA"/>
    <w:rsid w:val="00CA1057"/>
    <w:rsid w:val="00CA1ED8"/>
    <w:rsid w:val="00CA2BF4"/>
    <w:rsid w:val="00CA2D35"/>
    <w:rsid w:val="00CA30C8"/>
    <w:rsid w:val="00CA331B"/>
    <w:rsid w:val="00CA342B"/>
    <w:rsid w:val="00CA3474"/>
    <w:rsid w:val="00CA34C1"/>
    <w:rsid w:val="00CA40BE"/>
    <w:rsid w:val="00CA4300"/>
    <w:rsid w:val="00CA44F4"/>
    <w:rsid w:val="00CA5093"/>
    <w:rsid w:val="00CA5F74"/>
    <w:rsid w:val="00CA62A6"/>
    <w:rsid w:val="00CA6F09"/>
    <w:rsid w:val="00CA7373"/>
    <w:rsid w:val="00CB1034"/>
    <w:rsid w:val="00CB11DE"/>
    <w:rsid w:val="00CB1810"/>
    <w:rsid w:val="00CB1BD9"/>
    <w:rsid w:val="00CB1D2A"/>
    <w:rsid w:val="00CB1E82"/>
    <w:rsid w:val="00CB1F63"/>
    <w:rsid w:val="00CB240B"/>
    <w:rsid w:val="00CB28B4"/>
    <w:rsid w:val="00CB2C47"/>
    <w:rsid w:val="00CB31CC"/>
    <w:rsid w:val="00CB33B4"/>
    <w:rsid w:val="00CB38F5"/>
    <w:rsid w:val="00CB3969"/>
    <w:rsid w:val="00CB3B3A"/>
    <w:rsid w:val="00CB3BBF"/>
    <w:rsid w:val="00CB40A6"/>
    <w:rsid w:val="00CB43B7"/>
    <w:rsid w:val="00CB4494"/>
    <w:rsid w:val="00CB44FF"/>
    <w:rsid w:val="00CB4A54"/>
    <w:rsid w:val="00CB4D66"/>
    <w:rsid w:val="00CB55CE"/>
    <w:rsid w:val="00CB5759"/>
    <w:rsid w:val="00CB59E0"/>
    <w:rsid w:val="00CB6193"/>
    <w:rsid w:val="00CB61EF"/>
    <w:rsid w:val="00CB69D3"/>
    <w:rsid w:val="00CB7170"/>
    <w:rsid w:val="00CB7876"/>
    <w:rsid w:val="00CB7F94"/>
    <w:rsid w:val="00CB7FEF"/>
    <w:rsid w:val="00CC0239"/>
    <w:rsid w:val="00CC040E"/>
    <w:rsid w:val="00CC0A45"/>
    <w:rsid w:val="00CC111F"/>
    <w:rsid w:val="00CC136E"/>
    <w:rsid w:val="00CC16FC"/>
    <w:rsid w:val="00CC1FB9"/>
    <w:rsid w:val="00CC2011"/>
    <w:rsid w:val="00CC256E"/>
    <w:rsid w:val="00CC2716"/>
    <w:rsid w:val="00CC2C13"/>
    <w:rsid w:val="00CC2E20"/>
    <w:rsid w:val="00CC35F7"/>
    <w:rsid w:val="00CC36B3"/>
    <w:rsid w:val="00CC3B48"/>
    <w:rsid w:val="00CC3CC0"/>
    <w:rsid w:val="00CC3EA0"/>
    <w:rsid w:val="00CC4046"/>
    <w:rsid w:val="00CC4265"/>
    <w:rsid w:val="00CC44C8"/>
    <w:rsid w:val="00CC4C07"/>
    <w:rsid w:val="00CC745E"/>
    <w:rsid w:val="00CC7AF9"/>
    <w:rsid w:val="00CC7B45"/>
    <w:rsid w:val="00CC7F73"/>
    <w:rsid w:val="00CD0521"/>
    <w:rsid w:val="00CD0676"/>
    <w:rsid w:val="00CD0D28"/>
    <w:rsid w:val="00CD0DD8"/>
    <w:rsid w:val="00CD0FCF"/>
    <w:rsid w:val="00CD1072"/>
    <w:rsid w:val="00CD1188"/>
    <w:rsid w:val="00CD1487"/>
    <w:rsid w:val="00CD160F"/>
    <w:rsid w:val="00CD1DCB"/>
    <w:rsid w:val="00CD2B1A"/>
    <w:rsid w:val="00CD2D0C"/>
    <w:rsid w:val="00CD2ED1"/>
    <w:rsid w:val="00CD2F77"/>
    <w:rsid w:val="00CD31A8"/>
    <w:rsid w:val="00CD337B"/>
    <w:rsid w:val="00CD3412"/>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5519"/>
    <w:rsid w:val="00CE56D0"/>
    <w:rsid w:val="00CE5A51"/>
    <w:rsid w:val="00CE74E6"/>
    <w:rsid w:val="00CE7561"/>
    <w:rsid w:val="00CE7D63"/>
    <w:rsid w:val="00CF1354"/>
    <w:rsid w:val="00CF1397"/>
    <w:rsid w:val="00CF27E3"/>
    <w:rsid w:val="00CF2914"/>
    <w:rsid w:val="00CF3A80"/>
    <w:rsid w:val="00CF3B1F"/>
    <w:rsid w:val="00CF3BF6"/>
    <w:rsid w:val="00CF42C4"/>
    <w:rsid w:val="00CF49D6"/>
    <w:rsid w:val="00CF51DD"/>
    <w:rsid w:val="00CF5BA1"/>
    <w:rsid w:val="00CF5CB0"/>
    <w:rsid w:val="00CF625B"/>
    <w:rsid w:val="00CF687E"/>
    <w:rsid w:val="00CF6BA0"/>
    <w:rsid w:val="00CF6F19"/>
    <w:rsid w:val="00CF73E5"/>
    <w:rsid w:val="00CF7B42"/>
    <w:rsid w:val="00CF7C55"/>
    <w:rsid w:val="00D003E2"/>
    <w:rsid w:val="00D00EE6"/>
    <w:rsid w:val="00D0142B"/>
    <w:rsid w:val="00D01F9C"/>
    <w:rsid w:val="00D03125"/>
    <w:rsid w:val="00D031AD"/>
    <w:rsid w:val="00D031DA"/>
    <w:rsid w:val="00D0349B"/>
    <w:rsid w:val="00D03861"/>
    <w:rsid w:val="00D03CFB"/>
    <w:rsid w:val="00D04434"/>
    <w:rsid w:val="00D04A7D"/>
    <w:rsid w:val="00D05367"/>
    <w:rsid w:val="00D0586A"/>
    <w:rsid w:val="00D05AA7"/>
    <w:rsid w:val="00D05F16"/>
    <w:rsid w:val="00D06274"/>
    <w:rsid w:val="00D06492"/>
    <w:rsid w:val="00D0655A"/>
    <w:rsid w:val="00D067F6"/>
    <w:rsid w:val="00D0682D"/>
    <w:rsid w:val="00D06C62"/>
    <w:rsid w:val="00D06EB7"/>
    <w:rsid w:val="00D0700E"/>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367"/>
    <w:rsid w:val="00D14A4E"/>
    <w:rsid w:val="00D15AAD"/>
    <w:rsid w:val="00D15D01"/>
    <w:rsid w:val="00D161D8"/>
    <w:rsid w:val="00D163A6"/>
    <w:rsid w:val="00D165B8"/>
    <w:rsid w:val="00D17CE4"/>
    <w:rsid w:val="00D2006E"/>
    <w:rsid w:val="00D21672"/>
    <w:rsid w:val="00D222AD"/>
    <w:rsid w:val="00D22365"/>
    <w:rsid w:val="00D2277F"/>
    <w:rsid w:val="00D239A7"/>
    <w:rsid w:val="00D23BE5"/>
    <w:rsid w:val="00D23D60"/>
    <w:rsid w:val="00D23F47"/>
    <w:rsid w:val="00D23F95"/>
    <w:rsid w:val="00D242E0"/>
    <w:rsid w:val="00D24951"/>
    <w:rsid w:val="00D25155"/>
    <w:rsid w:val="00D251A0"/>
    <w:rsid w:val="00D25491"/>
    <w:rsid w:val="00D25557"/>
    <w:rsid w:val="00D2556A"/>
    <w:rsid w:val="00D2615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6455"/>
    <w:rsid w:val="00D3668A"/>
    <w:rsid w:val="00D36809"/>
    <w:rsid w:val="00D36E71"/>
    <w:rsid w:val="00D370A5"/>
    <w:rsid w:val="00D3767D"/>
    <w:rsid w:val="00D37CB5"/>
    <w:rsid w:val="00D37D3A"/>
    <w:rsid w:val="00D37D87"/>
    <w:rsid w:val="00D37F48"/>
    <w:rsid w:val="00D40481"/>
    <w:rsid w:val="00D404CA"/>
    <w:rsid w:val="00D40B33"/>
    <w:rsid w:val="00D40C8B"/>
    <w:rsid w:val="00D426C2"/>
    <w:rsid w:val="00D4318F"/>
    <w:rsid w:val="00D438BF"/>
    <w:rsid w:val="00D43AED"/>
    <w:rsid w:val="00D43B74"/>
    <w:rsid w:val="00D43CF8"/>
    <w:rsid w:val="00D43FBB"/>
    <w:rsid w:val="00D440F8"/>
    <w:rsid w:val="00D441B9"/>
    <w:rsid w:val="00D4515A"/>
    <w:rsid w:val="00D455F2"/>
    <w:rsid w:val="00D4568D"/>
    <w:rsid w:val="00D4576B"/>
    <w:rsid w:val="00D45964"/>
    <w:rsid w:val="00D4619E"/>
    <w:rsid w:val="00D46285"/>
    <w:rsid w:val="00D463E2"/>
    <w:rsid w:val="00D470E6"/>
    <w:rsid w:val="00D476B2"/>
    <w:rsid w:val="00D47F30"/>
    <w:rsid w:val="00D50A06"/>
    <w:rsid w:val="00D512FF"/>
    <w:rsid w:val="00D5135F"/>
    <w:rsid w:val="00D51AA0"/>
    <w:rsid w:val="00D51F60"/>
    <w:rsid w:val="00D52012"/>
    <w:rsid w:val="00D52BA3"/>
    <w:rsid w:val="00D52C29"/>
    <w:rsid w:val="00D5303E"/>
    <w:rsid w:val="00D53BB2"/>
    <w:rsid w:val="00D546FF"/>
    <w:rsid w:val="00D548D1"/>
    <w:rsid w:val="00D549DD"/>
    <w:rsid w:val="00D5544B"/>
    <w:rsid w:val="00D55955"/>
    <w:rsid w:val="00D55AD5"/>
    <w:rsid w:val="00D55E91"/>
    <w:rsid w:val="00D56D26"/>
    <w:rsid w:val="00D576CA"/>
    <w:rsid w:val="00D576E3"/>
    <w:rsid w:val="00D603D7"/>
    <w:rsid w:val="00D60E13"/>
    <w:rsid w:val="00D61AF5"/>
    <w:rsid w:val="00D62AC2"/>
    <w:rsid w:val="00D62CD5"/>
    <w:rsid w:val="00D64024"/>
    <w:rsid w:val="00D642D1"/>
    <w:rsid w:val="00D6435F"/>
    <w:rsid w:val="00D64DEB"/>
    <w:rsid w:val="00D652B5"/>
    <w:rsid w:val="00D652F2"/>
    <w:rsid w:val="00D65FA3"/>
    <w:rsid w:val="00D6607B"/>
    <w:rsid w:val="00D66155"/>
    <w:rsid w:val="00D66919"/>
    <w:rsid w:val="00D67A1E"/>
    <w:rsid w:val="00D67A77"/>
    <w:rsid w:val="00D67C2D"/>
    <w:rsid w:val="00D7079A"/>
    <w:rsid w:val="00D70841"/>
    <w:rsid w:val="00D708B0"/>
    <w:rsid w:val="00D70C0E"/>
    <w:rsid w:val="00D72099"/>
    <w:rsid w:val="00D7268D"/>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1DFE"/>
    <w:rsid w:val="00D81F78"/>
    <w:rsid w:val="00D822A7"/>
    <w:rsid w:val="00D823C6"/>
    <w:rsid w:val="00D82883"/>
    <w:rsid w:val="00D82E25"/>
    <w:rsid w:val="00D83756"/>
    <w:rsid w:val="00D837A0"/>
    <w:rsid w:val="00D845BA"/>
    <w:rsid w:val="00D84E09"/>
    <w:rsid w:val="00D85B34"/>
    <w:rsid w:val="00D85C14"/>
    <w:rsid w:val="00D86189"/>
    <w:rsid w:val="00D86B71"/>
    <w:rsid w:val="00D86CA3"/>
    <w:rsid w:val="00D87003"/>
    <w:rsid w:val="00D870F7"/>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40A"/>
    <w:rsid w:val="00D955BF"/>
    <w:rsid w:val="00D95766"/>
    <w:rsid w:val="00D959CC"/>
    <w:rsid w:val="00D968DA"/>
    <w:rsid w:val="00D9693C"/>
    <w:rsid w:val="00D96AF5"/>
    <w:rsid w:val="00D971D9"/>
    <w:rsid w:val="00D97336"/>
    <w:rsid w:val="00D97584"/>
    <w:rsid w:val="00D97697"/>
    <w:rsid w:val="00DA0106"/>
    <w:rsid w:val="00DA0471"/>
    <w:rsid w:val="00DA0B5B"/>
    <w:rsid w:val="00DA15B5"/>
    <w:rsid w:val="00DA1A50"/>
    <w:rsid w:val="00DA1C45"/>
    <w:rsid w:val="00DA1DF4"/>
    <w:rsid w:val="00DA20FC"/>
    <w:rsid w:val="00DA25B1"/>
    <w:rsid w:val="00DA305E"/>
    <w:rsid w:val="00DA30AB"/>
    <w:rsid w:val="00DA3477"/>
    <w:rsid w:val="00DA348F"/>
    <w:rsid w:val="00DA358A"/>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2AC4"/>
    <w:rsid w:val="00DB33CC"/>
    <w:rsid w:val="00DB377D"/>
    <w:rsid w:val="00DB448B"/>
    <w:rsid w:val="00DB4499"/>
    <w:rsid w:val="00DB46AB"/>
    <w:rsid w:val="00DB4AFD"/>
    <w:rsid w:val="00DB4C71"/>
    <w:rsid w:val="00DB4FFB"/>
    <w:rsid w:val="00DB548A"/>
    <w:rsid w:val="00DB591C"/>
    <w:rsid w:val="00DB6431"/>
    <w:rsid w:val="00DB7A41"/>
    <w:rsid w:val="00DB7C7B"/>
    <w:rsid w:val="00DC087B"/>
    <w:rsid w:val="00DC0BC3"/>
    <w:rsid w:val="00DC0BCD"/>
    <w:rsid w:val="00DC0D4D"/>
    <w:rsid w:val="00DC0D66"/>
    <w:rsid w:val="00DC13A2"/>
    <w:rsid w:val="00DC18D2"/>
    <w:rsid w:val="00DC27CF"/>
    <w:rsid w:val="00DC2D36"/>
    <w:rsid w:val="00DC2F9A"/>
    <w:rsid w:val="00DC3047"/>
    <w:rsid w:val="00DC3425"/>
    <w:rsid w:val="00DC34AD"/>
    <w:rsid w:val="00DC53EF"/>
    <w:rsid w:val="00DC6486"/>
    <w:rsid w:val="00DC69C5"/>
    <w:rsid w:val="00DC6A37"/>
    <w:rsid w:val="00DC6DA7"/>
    <w:rsid w:val="00DC7080"/>
    <w:rsid w:val="00DC7AAD"/>
    <w:rsid w:val="00DC7E2E"/>
    <w:rsid w:val="00DD0200"/>
    <w:rsid w:val="00DD0A3C"/>
    <w:rsid w:val="00DD0CCA"/>
    <w:rsid w:val="00DD1174"/>
    <w:rsid w:val="00DD162C"/>
    <w:rsid w:val="00DD18FF"/>
    <w:rsid w:val="00DD1994"/>
    <w:rsid w:val="00DD3472"/>
    <w:rsid w:val="00DD3EE3"/>
    <w:rsid w:val="00DD4536"/>
    <w:rsid w:val="00DD5CE4"/>
    <w:rsid w:val="00DD5FD0"/>
    <w:rsid w:val="00DD60DE"/>
    <w:rsid w:val="00DD6369"/>
    <w:rsid w:val="00DD6A8C"/>
    <w:rsid w:val="00DD6C37"/>
    <w:rsid w:val="00DD72B0"/>
    <w:rsid w:val="00DD74A8"/>
    <w:rsid w:val="00DD75E2"/>
    <w:rsid w:val="00DD7A99"/>
    <w:rsid w:val="00DD7B56"/>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358"/>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049"/>
    <w:rsid w:val="00DF318B"/>
    <w:rsid w:val="00DF3520"/>
    <w:rsid w:val="00DF369C"/>
    <w:rsid w:val="00DF3772"/>
    <w:rsid w:val="00DF37A0"/>
    <w:rsid w:val="00DF39F2"/>
    <w:rsid w:val="00DF3B7B"/>
    <w:rsid w:val="00DF4008"/>
    <w:rsid w:val="00DF454B"/>
    <w:rsid w:val="00DF45B5"/>
    <w:rsid w:val="00DF4F61"/>
    <w:rsid w:val="00DF54FD"/>
    <w:rsid w:val="00DF6056"/>
    <w:rsid w:val="00DF62E3"/>
    <w:rsid w:val="00DF7559"/>
    <w:rsid w:val="00E006FD"/>
    <w:rsid w:val="00E00D7C"/>
    <w:rsid w:val="00E012C0"/>
    <w:rsid w:val="00E0139C"/>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BB0"/>
    <w:rsid w:val="00E12CED"/>
    <w:rsid w:val="00E12F74"/>
    <w:rsid w:val="00E13163"/>
    <w:rsid w:val="00E13190"/>
    <w:rsid w:val="00E134C9"/>
    <w:rsid w:val="00E136DB"/>
    <w:rsid w:val="00E13962"/>
    <w:rsid w:val="00E1424B"/>
    <w:rsid w:val="00E14C0B"/>
    <w:rsid w:val="00E1555A"/>
    <w:rsid w:val="00E16887"/>
    <w:rsid w:val="00E1691D"/>
    <w:rsid w:val="00E1698F"/>
    <w:rsid w:val="00E17720"/>
    <w:rsid w:val="00E17725"/>
    <w:rsid w:val="00E17FA2"/>
    <w:rsid w:val="00E20601"/>
    <w:rsid w:val="00E209C7"/>
    <w:rsid w:val="00E209D9"/>
    <w:rsid w:val="00E20A0E"/>
    <w:rsid w:val="00E20FEC"/>
    <w:rsid w:val="00E22330"/>
    <w:rsid w:val="00E23633"/>
    <w:rsid w:val="00E23997"/>
    <w:rsid w:val="00E23A2B"/>
    <w:rsid w:val="00E2423D"/>
    <w:rsid w:val="00E24340"/>
    <w:rsid w:val="00E24460"/>
    <w:rsid w:val="00E2449C"/>
    <w:rsid w:val="00E24518"/>
    <w:rsid w:val="00E24FD3"/>
    <w:rsid w:val="00E25353"/>
    <w:rsid w:val="00E2556A"/>
    <w:rsid w:val="00E25AE6"/>
    <w:rsid w:val="00E276C8"/>
    <w:rsid w:val="00E30692"/>
    <w:rsid w:val="00E30B5A"/>
    <w:rsid w:val="00E3123D"/>
    <w:rsid w:val="00E31461"/>
    <w:rsid w:val="00E31D43"/>
    <w:rsid w:val="00E32189"/>
    <w:rsid w:val="00E32608"/>
    <w:rsid w:val="00E32950"/>
    <w:rsid w:val="00E32C15"/>
    <w:rsid w:val="00E33156"/>
    <w:rsid w:val="00E33CDD"/>
    <w:rsid w:val="00E33E7F"/>
    <w:rsid w:val="00E34188"/>
    <w:rsid w:val="00E34499"/>
    <w:rsid w:val="00E345CD"/>
    <w:rsid w:val="00E34B6E"/>
    <w:rsid w:val="00E35559"/>
    <w:rsid w:val="00E359C0"/>
    <w:rsid w:val="00E35EF6"/>
    <w:rsid w:val="00E3663D"/>
    <w:rsid w:val="00E36EBA"/>
    <w:rsid w:val="00E371D3"/>
    <w:rsid w:val="00E3723A"/>
    <w:rsid w:val="00E374E2"/>
    <w:rsid w:val="00E37860"/>
    <w:rsid w:val="00E379F0"/>
    <w:rsid w:val="00E40026"/>
    <w:rsid w:val="00E403C9"/>
    <w:rsid w:val="00E41511"/>
    <w:rsid w:val="00E416C4"/>
    <w:rsid w:val="00E417E5"/>
    <w:rsid w:val="00E41B7B"/>
    <w:rsid w:val="00E421D7"/>
    <w:rsid w:val="00E421D8"/>
    <w:rsid w:val="00E42775"/>
    <w:rsid w:val="00E4311E"/>
    <w:rsid w:val="00E431BF"/>
    <w:rsid w:val="00E4383C"/>
    <w:rsid w:val="00E43D05"/>
    <w:rsid w:val="00E44317"/>
    <w:rsid w:val="00E44496"/>
    <w:rsid w:val="00E446F1"/>
    <w:rsid w:val="00E447EA"/>
    <w:rsid w:val="00E44AE5"/>
    <w:rsid w:val="00E44C3E"/>
    <w:rsid w:val="00E4541B"/>
    <w:rsid w:val="00E457EF"/>
    <w:rsid w:val="00E45D39"/>
    <w:rsid w:val="00E466E9"/>
    <w:rsid w:val="00E46886"/>
    <w:rsid w:val="00E46DDB"/>
    <w:rsid w:val="00E47743"/>
    <w:rsid w:val="00E47AEF"/>
    <w:rsid w:val="00E47EE4"/>
    <w:rsid w:val="00E51298"/>
    <w:rsid w:val="00E517E5"/>
    <w:rsid w:val="00E5219D"/>
    <w:rsid w:val="00E52A10"/>
    <w:rsid w:val="00E52E06"/>
    <w:rsid w:val="00E52E2F"/>
    <w:rsid w:val="00E53448"/>
    <w:rsid w:val="00E536E2"/>
    <w:rsid w:val="00E53B75"/>
    <w:rsid w:val="00E54E3B"/>
    <w:rsid w:val="00E55710"/>
    <w:rsid w:val="00E557C6"/>
    <w:rsid w:val="00E55C1A"/>
    <w:rsid w:val="00E55C55"/>
    <w:rsid w:val="00E55D27"/>
    <w:rsid w:val="00E56B5B"/>
    <w:rsid w:val="00E56E08"/>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359"/>
    <w:rsid w:val="00E65486"/>
    <w:rsid w:val="00E65BD4"/>
    <w:rsid w:val="00E65DE5"/>
    <w:rsid w:val="00E661A7"/>
    <w:rsid w:val="00E665EC"/>
    <w:rsid w:val="00E67540"/>
    <w:rsid w:val="00E677DD"/>
    <w:rsid w:val="00E67998"/>
    <w:rsid w:val="00E67C51"/>
    <w:rsid w:val="00E7011B"/>
    <w:rsid w:val="00E7057C"/>
    <w:rsid w:val="00E7069F"/>
    <w:rsid w:val="00E72EFC"/>
    <w:rsid w:val="00E73840"/>
    <w:rsid w:val="00E73DC7"/>
    <w:rsid w:val="00E747A5"/>
    <w:rsid w:val="00E74859"/>
    <w:rsid w:val="00E758EC"/>
    <w:rsid w:val="00E75B52"/>
    <w:rsid w:val="00E75FF8"/>
    <w:rsid w:val="00E76551"/>
    <w:rsid w:val="00E7665F"/>
    <w:rsid w:val="00E76ACC"/>
    <w:rsid w:val="00E76D00"/>
    <w:rsid w:val="00E77071"/>
    <w:rsid w:val="00E774A2"/>
    <w:rsid w:val="00E777F9"/>
    <w:rsid w:val="00E77A36"/>
    <w:rsid w:val="00E77D23"/>
    <w:rsid w:val="00E77E3A"/>
    <w:rsid w:val="00E77E85"/>
    <w:rsid w:val="00E77EFF"/>
    <w:rsid w:val="00E77FAB"/>
    <w:rsid w:val="00E800C3"/>
    <w:rsid w:val="00E801B9"/>
    <w:rsid w:val="00E814D1"/>
    <w:rsid w:val="00E822F5"/>
    <w:rsid w:val="00E82310"/>
    <w:rsid w:val="00E8234C"/>
    <w:rsid w:val="00E82420"/>
    <w:rsid w:val="00E82FA1"/>
    <w:rsid w:val="00E82FEE"/>
    <w:rsid w:val="00E8304E"/>
    <w:rsid w:val="00E831A8"/>
    <w:rsid w:val="00E83AA9"/>
    <w:rsid w:val="00E84439"/>
    <w:rsid w:val="00E84B69"/>
    <w:rsid w:val="00E84BA8"/>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80C"/>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5A5B"/>
    <w:rsid w:val="00EA5AA7"/>
    <w:rsid w:val="00EA6A36"/>
    <w:rsid w:val="00EA7056"/>
    <w:rsid w:val="00EA70B1"/>
    <w:rsid w:val="00EA7A41"/>
    <w:rsid w:val="00EA7C14"/>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387"/>
    <w:rsid w:val="00EC17F7"/>
    <w:rsid w:val="00EC23A3"/>
    <w:rsid w:val="00EC27C6"/>
    <w:rsid w:val="00EC2849"/>
    <w:rsid w:val="00EC2C02"/>
    <w:rsid w:val="00EC2CE4"/>
    <w:rsid w:val="00EC2FCF"/>
    <w:rsid w:val="00EC374B"/>
    <w:rsid w:val="00EC4207"/>
    <w:rsid w:val="00EC43BC"/>
    <w:rsid w:val="00EC54E3"/>
    <w:rsid w:val="00EC5653"/>
    <w:rsid w:val="00EC5A31"/>
    <w:rsid w:val="00EC5F6E"/>
    <w:rsid w:val="00EC60B5"/>
    <w:rsid w:val="00EC6E4D"/>
    <w:rsid w:val="00EC71CE"/>
    <w:rsid w:val="00EC74EA"/>
    <w:rsid w:val="00ED0158"/>
    <w:rsid w:val="00ED01F1"/>
    <w:rsid w:val="00ED0231"/>
    <w:rsid w:val="00ED1006"/>
    <w:rsid w:val="00ED15FF"/>
    <w:rsid w:val="00ED1AEB"/>
    <w:rsid w:val="00ED1BEE"/>
    <w:rsid w:val="00ED1D14"/>
    <w:rsid w:val="00ED23CC"/>
    <w:rsid w:val="00ED24B0"/>
    <w:rsid w:val="00ED28FA"/>
    <w:rsid w:val="00ED2AB8"/>
    <w:rsid w:val="00ED3E2F"/>
    <w:rsid w:val="00ED4362"/>
    <w:rsid w:val="00ED45CB"/>
    <w:rsid w:val="00ED4917"/>
    <w:rsid w:val="00ED49D3"/>
    <w:rsid w:val="00ED4BF3"/>
    <w:rsid w:val="00ED4C85"/>
    <w:rsid w:val="00ED4FF4"/>
    <w:rsid w:val="00ED668D"/>
    <w:rsid w:val="00ED6C4B"/>
    <w:rsid w:val="00ED6DF2"/>
    <w:rsid w:val="00ED74C4"/>
    <w:rsid w:val="00ED7799"/>
    <w:rsid w:val="00ED7E54"/>
    <w:rsid w:val="00EE0CA6"/>
    <w:rsid w:val="00EE0E2C"/>
    <w:rsid w:val="00EE17AA"/>
    <w:rsid w:val="00EE1939"/>
    <w:rsid w:val="00EE2BB7"/>
    <w:rsid w:val="00EE2C5B"/>
    <w:rsid w:val="00EE35E9"/>
    <w:rsid w:val="00EE3C98"/>
    <w:rsid w:val="00EE4C32"/>
    <w:rsid w:val="00EE5581"/>
    <w:rsid w:val="00EE5666"/>
    <w:rsid w:val="00EE5A1B"/>
    <w:rsid w:val="00EE5E53"/>
    <w:rsid w:val="00EE626D"/>
    <w:rsid w:val="00EE674E"/>
    <w:rsid w:val="00EE6A74"/>
    <w:rsid w:val="00EE6AEB"/>
    <w:rsid w:val="00EE6E87"/>
    <w:rsid w:val="00EE71C1"/>
    <w:rsid w:val="00EE71DE"/>
    <w:rsid w:val="00EE7417"/>
    <w:rsid w:val="00EF128D"/>
    <w:rsid w:val="00EF15EF"/>
    <w:rsid w:val="00EF18FE"/>
    <w:rsid w:val="00EF19A7"/>
    <w:rsid w:val="00EF25EC"/>
    <w:rsid w:val="00EF2A42"/>
    <w:rsid w:val="00EF2F9E"/>
    <w:rsid w:val="00EF3256"/>
    <w:rsid w:val="00EF361E"/>
    <w:rsid w:val="00EF3A90"/>
    <w:rsid w:val="00EF4364"/>
    <w:rsid w:val="00EF46EC"/>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DCA"/>
    <w:rsid w:val="00F157B8"/>
    <w:rsid w:val="00F15FA5"/>
    <w:rsid w:val="00F162DA"/>
    <w:rsid w:val="00F16652"/>
    <w:rsid w:val="00F16746"/>
    <w:rsid w:val="00F16993"/>
    <w:rsid w:val="00F170EA"/>
    <w:rsid w:val="00F171FE"/>
    <w:rsid w:val="00F17A7B"/>
    <w:rsid w:val="00F17E83"/>
    <w:rsid w:val="00F20236"/>
    <w:rsid w:val="00F208CE"/>
    <w:rsid w:val="00F208F0"/>
    <w:rsid w:val="00F209B7"/>
    <w:rsid w:val="00F21462"/>
    <w:rsid w:val="00F218FA"/>
    <w:rsid w:val="00F21B4A"/>
    <w:rsid w:val="00F228C9"/>
    <w:rsid w:val="00F2376F"/>
    <w:rsid w:val="00F23FCA"/>
    <w:rsid w:val="00F240C7"/>
    <w:rsid w:val="00F240CC"/>
    <w:rsid w:val="00F24267"/>
    <w:rsid w:val="00F243D8"/>
    <w:rsid w:val="00F24CC7"/>
    <w:rsid w:val="00F24DE0"/>
    <w:rsid w:val="00F24F01"/>
    <w:rsid w:val="00F25BBA"/>
    <w:rsid w:val="00F25FBD"/>
    <w:rsid w:val="00F2688F"/>
    <w:rsid w:val="00F26E71"/>
    <w:rsid w:val="00F27337"/>
    <w:rsid w:val="00F2767C"/>
    <w:rsid w:val="00F30828"/>
    <w:rsid w:val="00F3108E"/>
    <w:rsid w:val="00F31148"/>
    <w:rsid w:val="00F313D6"/>
    <w:rsid w:val="00F326AF"/>
    <w:rsid w:val="00F32B20"/>
    <w:rsid w:val="00F32BC1"/>
    <w:rsid w:val="00F33113"/>
    <w:rsid w:val="00F33114"/>
    <w:rsid w:val="00F33BF6"/>
    <w:rsid w:val="00F33F60"/>
    <w:rsid w:val="00F3438E"/>
    <w:rsid w:val="00F34923"/>
    <w:rsid w:val="00F35DFE"/>
    <w:rsid w:val="00F36D7E"/>
    <w:rsid w:val="00F374AB"/>
    <w:rsid w:val="00F374BD"/>
    <w:rsid w:val="00F376E0"/>
    <w:rsid w:val="00F37A65"/>
    <w:rsid w:val="00F40A3B"/>
    <w:rsid w:val="00F40E5A"/>
    <w:rsid w:val="00F40F0C"/>
    <w:rsid w:val="00F41816"/>
    <w:rsid w:val="00F41C33"/>
    <w:rsid w:val="00F41C49"/>
    <w:rsid w:val="00F41CD4"/>
    <w:rsid w:val="00F42764"/>
    <w:rsid w:val="00F42BB2"/>
    <w:rsid w:val="00F42E2D"/>
    <w:rsid w:val="00F43354"/>
    <w:rsid w:val="00F43969"/>
    <w:rsid w:val="00F43E56"/>
    <w:rsid w:val="00F449A7"/>
    <w:rsid w:val="00F44F6A"/>
    <w:rsid w:val="00F44FEC"/>
    <w:rsid w:val="00F452B9"/>
    <w:rsid w:val="00F45D35"/>
    <w:rsid w:val="00F46010"/>
    <w:rsid w:val="00F46B03"/>
    <w:rsid w:val="00F46BF3"/>
    <w:rsid w:val="00F46FE6"/>
    <w:rsid w:val="00F4766C"/>
    <w:rsid w:val="00F4790D"/>
    <w:rsid w:val="00F47973"/>
    <w:rsid w:val="00F501A2"/>
    <w:rsid w:val="00F507D1"/>
    <w:rsid w:val="00F50FA4"/>
    <w:rsid w:val="00F514C3"/>
    <w:rsid w:val="00F519CE"/>
    <w:rsid w:val="00F51ADA"/>
    <w:rsid w:val="00F5302E"/>
    <w:rsid w:val="00F53417"/>
    <w:rsid w:val="00F53EA5"/>
    <w:rsid w:val="00F54FBA"/>
    <w:rsid w:val="00F55955"/>
    <w:rsid w:val="00F55E9A"/>
    <w:rsid w:val="00F55F64"/>
    <w:rsid w:val="00F560A0"/>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84D"/>
    <w:rsid w:val="00F62970"/>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49B"/>
    <w:rsid w:val="00F7074E"/>
    <w:rsid w:val="00F71A48"/>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5FDE"/>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2DD"/>
    <w:rsid w:val="00F95AF6"/>
    <w:rsid w:val="00F9686A"/>
    <w:rsid w:val="00F96985"/>
    <w:rsid w:val="00F96BDD"/>
    <w:rsid w:val="00F96C9D"/>
    <w:rsid w:val="00F96F0E"/>
    <w:rsid w:val="00F97015"/>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2BF"/>
    <w:rsid w:val="00FA7362"/>
    <w:rsid w:val="00FA797C"/>
    <w:rsid w:val="00FA7ABE"/>
    <w:rsid w:val="00FB0445"/>
    <w:rsid w:val="00FB1A04"/>
    <w:rsid w:val="00FB1CBA"/>
    <w:rsid w:val="00FB27C6"/>
    <w:rsid w:val="00FB2841"/>
    <w:rsid w:val="00FB2CD4"/>
    <w:rsid w:val="00FB3263"/>
    <w:rsid w:val="00FB330B"/>
    <w:rsid w:val="00FB3E75"/>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64B"/>
    <w:rsid w:val="00FC2C6B"/>
    <w:rsid w:val="00FC2F90"/>
    <w:rsid w:val="00FC3834"/>
    <w:rsid w:val="00FC3CA0"/>
    <w:rsid w:val="00FC4AD0"/>
    <w:rsid w:val="00FC4F6C"/>
    <w:rsid w:val="00FC54BD"/>
    <w:rsid w:val="00FC5CF1"/>
    <w:rsid w:val="00FC6F85"/>
    <w:rsid w:val="00FC7413"/>
    <w:rsid w:val="00FC7429"/>
    <w:rsid w:val="00FC7653"/>
    <w:rsid w:val="00FC785A"/>
    <w:rsid w:val="00FC7868"/>
    <w:rsid w:val="00FC7E30"/>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14FD"/>
    <w:rsid w:val="00FE2365"/>
    <w:rsid w:val="00FE24A9"/>
    <w:rsid w:val="00FE2A4D"/>
    <w:rsid w:val="00FE3B6F"/>
    <w:rsid w:val="00FE3C6C"/>
    <w:rsid w:val="00FE4C7B"/>
    <w:rsid w:val="00FE58D1"/>
    <w:rsid w:val="00FE5CEC"/>
    <w:rsid w:val="00FE5E15"/>
    <w:rsid w:val="00FE6BDD"/>
    <w:rsid w:val="00FE7336"/>
    <w:rsid w:val="00FE787C"/>
    <w:rsid w:val="00FE7EA1"/>
    <w:rsid w:val="00FF0BB8"/>
    <w:rsid w:val="00FF0CE1"/>
    <w:rsid w:val="00FF10FD"/>
    <w:rsid w:val="00FF121F"/>
    <w:rsid w:val="00FF2D77"/>
    <w:rsid w:val="00FF3013"/>
    <w:rsid w:val="00FF303A"/>
    <w:rsid w:val="00FF45A5"/>
    <w:rsid w:val="00FF4A5C"/>
    <w:rsid w:val="00FF547E"/>
    <w:rsid w:val="00FF5517"/>
    <w:rsid w:val="00FF563C"/>
    <w:rsid w:val="00FF56E6"/>
    <w:rsid w:val="00FF5C91"/>
    <w:rsid w:val="00FF5F49"/>
    <w:rsid w:val="00FF6CAC"/>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link w:val="CommentTextChar"/>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msonormal">
    <w:name w:val="xmsonormal"/>
    <w:basedOn w:val="Normal"/>
    <w:uiPriority w:val="99"/>
    <w:rsid w:val="00991887"/>
    <w:pPr>
      <w:spacing w:before="100" w:beforeAutospacing="1" w:after="100" w:afterAutospacing="1"/>
    </w:pPr>
    <w:rPr>
      <w:rFonts w:ascii="Calibri" w:eastAsia="Gulim" w:hAnsi="Calibri" w:cs="Calibri"/>
      <w:sz w:val="22"/>
      <w:szCs w:val="22"/>
      <w:lang w:eastAsia="ko-KR"/>
    </w:rPr>
  </w:style>
  <w:style w:type="character" w:customStyle="1" w:styleId="CommentTextChar">
    <w:name w:val="Comment Text Char"/>
    <w:basedOn w:val="DefaultParagraphFont"/>
    <w:link w:val="CommentText"/>
    <w:semiHidden/>
    <w:rsid w:val="00CA0169"/>
    <w:rPr>
      <w:rFonts w:ascii="Times New Roman" w:hAnsi="Times New Roman"/>
      <w:sz w:val="24"/>
      <w:szCs w:val="24"/>
    </w:rPr>
  </w:style>
  <w:style w:type="paragraph" w:customStyle="1" w:styleId="textintend1">
    <w:name w:val="text intend 1"/>
    <w:basedOn w:val="Normal"/>
    <w:rsid w:val="008A3282"/>
    <w:pPr>
      <w:numPr>
        <w:numId w:val="12"/>
      </w:numPr>
      <w:overflowPunct w:val="0"/>
      <w:autoSpaceDE w:val="0"/>
      <w:autoSpaceDN w:val="0"/>
      <w:adjustRightInd w:val="0"/>
      <w:spacing w:after="120"/>
      <w:jc w:val="both"/>
      <w:textAlignment w:val="baseline"/>
    </w:pPr>
    <w:rPr>
      <w:rFonts w:eastAsia="MS Mincho"/>
      <w:szCs w:val="20"/>
      <w:lang w:eastAsia="en-GB"/>
    </w:rPr>
  </w:style>
  <w:style w:type="character" w:customStyle="1" w:styleId="B1Zchn">
    <w:name w:val="B1 Zchn"/>
    <w:link w:val="B1"/>
    <w:qFormat/>
    <w:rsid w:val="008A3282"/>
    <w:rPr>
      <w:rFonts w:ascii="Times New Roman" w:hAnsi="Times New Roman"/>
      <w:sz w:val="24"/>
      <w:szCs w:val="24"/>
      <w:lang w:eastAsia="en-US"/>
    </w:rPr>
  </w:style>
  <w:style w:type="character" w:customStyle="1" w:styleId="B1Char">
    <w:name w:val="B1 Char"/>
    <w:qFormat/>
    <w:locked/>
    <w:rsid w:val="00641351"/>
    <w:rPr>
      <w:rFonts w:ascii="Times New Roman" w:hAnsi="Times New Roman"/>
      <w:lang w:val="en-GB" w:eastAsia="en-US"/>
    </w:rPr>
  </w:style>
  <w:style w:type="character" w:styleId="UnresolvedMention">
    <w:name w:val="Unresolved Mention"/>
    <w:basedOn w:val="DefaultParagraphFont"/>
    <w:rsid w:val="00FA72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89776820">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93902444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7</Pages>
  <Words>1849</Words>
  <Characters>10540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12365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2022-03-19T20:28:00Z</dcterms:created>
  <dcterms:modified xsi:type="dcterms:W3CDTF">2022-04-29T00:00:00Z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